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8F3" w:rsidRPr="008828B2" w:rsidRDefault="00C228F3" w:rsidP="00C228F3">
      <w:pPr>
        <w:jc w:val="both"/>
        <w:rPr>
          <w:rFonts w:ascii="Montserrat SemiBold" w:eastAsia="Calibri" w:hAnsi="Montserrat SemiBold" w:cs="Arial"/>
          <w:bCs/>
        </w:rPr>
      </w:pPr>
      <w:r w:rsidRPr="008828B2">
        <w:rPr>
          <w:rFonts w:ascii="Montserrat SemiBold" w:eastAsia="Calibri" w:hAnsi="Montserrat SemiBold" w:cs="Arial"/>
          <w:b/>
          <w:bCs/>
        </w:rPr>
        <w:t xml:space="preserve">RESOLUCIÓN DEL COMITÉ DE TRANSPARENCIA DE LA SECRETARÍA DE RELACIONES EXTERIORES CON MOTIVO DE LA DECLARACIÓN DE CLASIFICACIÓN DE </w:t>
      </w:r>
      <w:r w:rsidR="00195FA2" w:rsidRPr="008828B2">
        <w:rPr>
          <w:rFonts w:ascii="Montserrat SemiBold" w:eastAsia="Calibri" w:hAnsi="Montserrat SemiBold" w:cs="Arial"/>
          <w:b/>
          <w:bCs/>
        </w:rPr>
        <w:t>RESER</w:t>
      </w:r>
      <w:r w:rsidR="00C24996" w:rsidRPr="008828B2">
        <w:rPr>
          <w:rFonts w:ascii="Montserrat SemiBold" w:eastAsia="Calibri" w:hAnsi="Montserrat SemiBold" w:cs="Arial"/>
          <w:b/>
          <w:bCs/>
        </w:rPr>
        <w:t xml:space="preserve">VA DE LA INFORMACIÓN </w:t>
      </w:r>
      <w:r w:rsidRPr="008828B2">
        <w:rPr>
          <w:rFonts w:ascii="Montserrat SemiBold" w:eastAsia="Calibri" w:hAnsi="Montserrat SemiBold" w:cs="Arial"/>
          <w:b/>
          <w:bCs/>
        </w:rPr>
        <w:t>REALIZADA POR LA</w:t>
      </w:r>
      <w:r w:rsidR="00A24ABC">
        <w:rPr>
          <w:rFonts w:ascii="Montserrat SemiBold" w:eastAsia="Calibri" w:hAnsi="Montserrat SemiBold" w:cs="Arial"/>
          <w:b/>
          <w:bCs/>
        </w:rPr>
        <w:t>S</w:t>
      </w:r>
      <w:r w:rsidRPr="008828B2">
        <w:rPr>
          <w:rFonts w:ascii="Montserrat SemiBold" w:eastAsia="Calibri" w:hAnsi="Montserrat SemiBold" w:cs="Arial"/>
          <w:b/>
          <w:bCs/>
        </w:rPr>
        <w:t xml:space="preserve"> UNIDAD</w:t>
      </w:r>
      <w:r w:rsidR="00A24ABC">
        <w:rPr>
          <w:rFonts w:ascii="Montserrat SemiBold" w:eastAsia="Calibri" w:hAnsi="Montserrat SemiBold" w:cs="Arial"/>
          <w:b/>
          <w:bCs/>
        </w:rPr>
        <w:t>ES</w:t>
      </w:r>
      <w:r w:rsidRPr="008828B2">
        <w:rPr>
          <w:rFonts w:ascii="Montserrat SemiBold" w:eastAsia="Calibri" w:hAnsi="Montserrat SemiBold" w:cs="Arial"/>
          <w:b/>
          <w:bCs/>
        </w:rPr>
        <w:t xml:space="preserve"> ADMINISTRATIVA</w:t>
      </w:r>
      <w:r w:rsidR="00A24ABC">
        <w:rPr>
          <w:rFonts w:ascii="Montserrat SemiBold" w:eastAsia="Calibri" w:hAnsi="Montserrat SemiBold" w:cs="Arial"/>
          <w:b/>
          <w:bCs/>
        </w:rPr>
        <w:t>S</w:t>
      </w:r>
      <w:r w:rsidR="00082518" w:rsidRPr="008828B2">
        <w:rPr>
          <w:rFonts w:ascii="Montserrat SemiBold" w:eastAsia="Calibri" w:hAnsi="Montserrat SemiBold" w:cs="Arial"/>
          <w:b/>
          <w:bCs/>
        </w:rPr>
        <w:t>,</w:t>
      </w:r>
      <w:r w:rsidRPr="008828B2">
        <w:rPr>
          <w:rFonts w:ascii="Montserrat SemiBold" w:eastAsia="Calibri" w:hAnsi="Montserrat SemiBold" w:cs="Arial"/>
          <w:b/>
          <w:bCs/>
        </w:rPr>
        <w:t xml:space="preserve"> </w:t>
      </w:r>
      <w:r w:rsidR="00082518" w:rsidRPr="008828B2">
        <w:rPr>
          <w:rFonts w:ascii="Montserrat SemiBold" w:eastAsia="Calibri" w:hAnsi="Montserrat SemiBold" w:cs="Arial"/>
          <w:b/>
          <w:bCs/>
        </w:rPr>
        <w:t>EN CUMPLIMIENTO A LA INSTRUCCIÓN DEL PLENO DEL INSTITUTO NACIONAL DE TRANSPARENCIA, ACCESO A LA INFORMACIÓN Y PROTECCIÓN DE DATOS PERSONALES DENTRO DE LA RESOLUCIÓN AL RECURSO DE REVISIÓN RRA 1</w:t>
      </w:r>
      <w:r w:rsidR="00C24996" w:rsidRPr="008828B2">
        <w:rPr>
          <w:rFonts w:ascii="Montserrat SemiBold" w:eastAsia="Calibri" w:hAnsi="Montserrat SemiBold" w:cs="Arial"/>
          <w:b/>
          <w:bCs/>
        </w:rPr>
        <w:t>542</w:t>
      </w:r>
      <w:r w:rsidR="00082518" w:rsidRPr="008828B2">
        <w:rPr>
          <w:rFonts w:ascii="Montserrat SemiBold" w:eastAsia="Calibri" w:hAnsi="Montserrat SemiBold" w:cs="Arial"/>
          <w:b/>
          <w:bCs/>
        </w:rPr>
        <w:t>/1</w:t>
      </w:r>
      <w:r w:rsidR="000B3B57" w:rsidRPr="008828B2">
        <w:rPr>
          <w:rFonts w:ascii="Montserrat SemiBold" w:eastAsia="Calibri" w:hAnsi="Montserrat SemiBold" w:cs="Arial"/>
          <w:b/>
          <w:bCs/>
        </w:rPr>
        <w:t>9</w:t>
      </w:r>
      <w:r w:rsidR="00082518" w:rsidRPr="008828B2">
        <w:rPr>
          <w:rFonts w:ascii="Montserrat SemiBold" w:eastAsia="Calibri" w:hAnsi="Montserrat SemiBold" w:cs="Arial"/>
          <w:b/>
          <w:bCs/>
        </w:rPr>
        <w:t xml:space="preserve">, INTERPUESTO EN CONTRA DE LA RESPUESTA </w:t>
      </w:r>
      <w:r w:rsidRPr="008828B2">
        <w:rPr>
          <w:rFonts w:ascii="Montserrat SemiBold" w:eastAsia="Calibri" w:hAnsi="Montserrat SemiBold" w:cs="Arial"/>
          <w:b/>
          <w:bCs/>
        </w:rPr>
        <w:t>RELATIVA A LA SOLICITUD DE ACCESO A LA INFORMACIÓN PÚBLICA</w:t>
      </w:r>
      <w:r w:rsidR="00DF1D33" w:rsidRPr="008828B2">
        <w:rPr>
          <w:rFonts w:ascii="Montserrat SemiBold" w:eastAsia="Calibri" w:hAnsi="Montserrat SemiBold" w:cs="Arial"/>
          <w:b/>
          <w:bCs/>
        </w:rPr>
        <w:t xml:space="preserve"> CON </w:t>
      </w:r>
      <w:r w:rsidR="008E100A" w:rsidRPr="008828B2">
        <w:rPr>
          <w:rFonts w:ascii="Montserrat SemiBold" w:eastAsia="Calibri" w:hAnsi="Montserrat SemiBold" w:cs="Arial"/>
          <w:b/>
          <w:bCs/>
        </w:rPr>
        <w:t xml:space="preserve">NÚMERO DE </w:t>
      </w:r>
      <w:r w:rsidR="008C5EA2" w:rsidRPr="008828B2">
        <w:rPr>
          <w:rFonts w:ascii="Montserrat SemiBold" w:eastAsia="Calibri" w:hAnsi="Montserrat SemiBold" w:cs="Arial"/>
          <w:b/>
          <w:bCs/>
        </w:rPr>
        <w:t>FOLIO 0000500</w:t>
      </w:r>
      <w:r w:rsidR="00C24996" w:rsidRPr="008828B2">
        <w:rPr>
          <w:rFonts w:ascii="Montserrat SemiBold" w:eastAsia="Calibri" w:hAnsi="Montserrat SemiBold" w:cs="Arial"/>
          <w:b/>
          <w:bCs/>
        </w:rPr>
        <w:t>003819</w:t>
      </w:r>
      <w:r w:rsidR="00082518" w:rsidRPr="008828B2">
        <w:rPr>
          <w:rFonts w:ascii="Montserrat SemiBold" w:eastAsia="Calibri" w:hAnsi="Montserrat SemiBold" w:cs="Arial"/>
          <w:b/>
          <w:bCs/>
        </w:rPr>
        <w:t>.</w:t>
      </w:r>
      <w:r w:rsidR="004E59D5" w:rsidRPr="008828B2">
        <w:rPr>
          <w:rFonts w:ascii="Montserrat SemiBold" w:eastAsia="Calibri" w:hAnsi="Montserrat SemiBold" w:cs="Arial"/>
          <w:b/>
          <w:bCs/>
        </w:rPr>
        <w:br/>
      </w:r>
    </w:p>
    <w:p w:rsidR="00082518" w:rsidRPr="008828B2" w:rsidRDefault="00082518" w:rsidP="00C228F3">
      <w:pPr>
        <w:jc w:val="both"/>
        <w:rPr>
          <w:rFonts w:ascii="Montserrat SemiBold" w:eastAsia="Calibri" w:hAnsi="Montserrat SemiBold" w:cs="Arial"/>
          <w:bCs/>
        </w:rPr>
      </w:pPr>
    </w:p>
    <w:p w:rsidR="00C228F3" w:rsidRPr="008828B2" w:rsidRDefault="00C228F3" w:rsidP="00C228F3">
      <w:pPr>
        <w:jc w:val="center"/>
        <w:rPr>
          <w:rFonts w:ascii="Montserrat ExtraBold" w:eastAsia="Calibri" w:hAnsi="Montserrat ExtraBold" w:cs="Arial"/>
          <w:b/>
        </w:rPr>
      </w:pPr>
      <w:r w:rsidRPr="008828B2">
        <w:rPr>
          <w:rFonts w:ascii="Montserrat ExtraBold" w:eastAsia="Calibri" w:hAnsi="Montserrat ExtraBold" w:cs="Arial"/>
          <w:b/>
        </w:rPr>
        <w:t>A N T E C E D E N T E S</w:t>
      </w:r>
    </w:p>
    <w:p w:rsidR="00C228F3" w:rsidRPr="008828B2" w:rsidRDefault="00C228F3" w:rsidP="00C228F3">
      <w:pPr>
        <w:jc w:val="both"/>
        <w:rPr>
          <w:rFonts w:ascii="Montserrat" w:eastAsia="Calibri" w:hAnsi="Montserrat" w:cs="Arial"/>
        </w:rPr>
      </w:pPr>
    </w:p>
    <w:p w:rsidR="00C228F3" w:rsidRPr="008828B2" w:rsidRDefault="008C5EA2" w:rsidP="00C228F3">
      <w:pPr>
        <w:pStyle w:val="Prrafodelista"/>
        <w:numPr>
          <w:ilvl w:val="0"/>
          <w:numId w:val="1"/>
        </w:numPr>
        <w:spacing w:after="120"/>
        <w:ind w:left="709"/>
        <w:jc w:val="both"/>
        <w:rPr>
          <w:rFonts w:ascii="Montserrat SemiBold" w:eastAsia="Calibri" w:hAnsi="Montserrat SemiBold" w:cs="Arial"/>
          <w:b/>
          <w:i/>
          <w:u w:val="single"/>
        </w:rPr>
      </w:pPr>
      <w:r w:rsidRPr="008828B2">
        <w:rPr>
          <w:rFonts w:ascii="Montserrat SemiBold" w:eastAsia="Calibri" w:hAnsi="Montserrat SemiBold" w:cs="Arial"/>
          <w:b/>
          <w:i/>
          <w:u w:val="single"/>
        </w:rPr>
        <w:t xml:space="preserve">SOLICITUD – FOLIO </w:t>
      </w:r>
      <w:r w:rsidR="00867CE9" w:rsidRPr="008828B2">
        <w:rPr>
          <w:rFonts w:ascii="Montserrat SemiBold" w:eastAsia="Calibri" w:hAnsi="Montserrat SemiBold" w:cs="Arial"/>
          <w:b/>
          <w:i/>
          <w:u w:val="single"/>
        </w:rPr>
        <w:t>0000500</w:t>
      </w:r>
      <w:r w:rsidR="00C24996" w:rsidRPr="008828B2">
        <w:rPr>
          <w:rFonts w:ascii="Montserrat SemiBold" w:eastAsia="Calibri" w:hAnsi="Montserrat SemiBold" w:cs="Arial"/>
          <w:b/>
          <w:i/>
          <w:u w:val="single"/>
        </w:rPr>
        <w:t>003819</w:t>
      </w:r>
    </w:p>
    <w:p w:rsidR="00C228F3" w:rsidRPr="008828B2" w:rsidRDefault="002914C5" w:rsidP="00C228F3">
      <w:pPr>
        <w:jc w:val="both"/>
        <w:rPr>
          <w:rFonts w:ascii="Montserrat" w:eastAsia="Calibri" w:hAnsi="Montserrat" w:cs="Arial"/>
          <w:bCs/>
        </w:rPr>
      </w:pPr>
      <w:r w:rsidRPr="008828B2">
        <w:rPr>
          <w:rFonts w:ascii="Montserrat" w:eastAsia="Calibri" w:hAnsi="Montserrat" w:cs="Arial"/>
          <w:bCs/>
        </w:rPr>
        <w:t xml:space="preserve">Con fecha </w:t>
      </w:r>
      <w:r w:rsidR="00C24996" w:rsidRPr="008828B2">
        <w:rPr>
          <w:rFonts w:ascii="Montserrat" w:eastAsia="Calibri" w:hAnsi="Montserrat" w:cs="Arial"/>
          <w:bCs/>
        </w:rPr>
        <w:t>0</w:t>
      </w:r>
      <w:r w:rsidR="008828B2" w:rsidRPr="008828B2">
        <w:rPr>
          <w:rFonts w:ascii="Montserrat" w:eastAsia="Calibri" w:hAnsi="Montserrat" w:cs="Arial"/>
          <w:bCs/>
        </w:rPr>
        <w:t>7</w:t>
      </w:r>
      <w:r w:rsidRPr="008828B2">
        <w:rPr>
          <w:rFonts w:ascii="Montserrat" w:eastAsia="Calibri" w:hAnsi="Montserrat" w:cs="Arial"/>
          <w:bCs/>
        </w:rPr>
        <w:t xml:space="preserve"> de e</w:t>
      </w:r>
      <w:r w:rsidR="00C24996" w:rsidRPr="008828B2">
        <w:rPr>
          <w:rFonts w:ascii="Montserrat" w:eastAsia="Calibri" w:hAnsi="Montserrat" w:cs="Arial"/>
          <w:bCs/>
        </w:rPr>
        <w:t>nero</w:t>
      </w:r>
      <w:r w:rsidRPr="008828B2">
        <w:rPr>
          <w:rFonts w:ascii="Montserrat" w:eastAsia="Calibri" w:hAnsi="Montserrat" w:cs="Arial"/>
          <w:bCs/>
        </w:rPr>
        <w:t xml:space="preserve"> de 201</w:t>
      </w:r>
      <w:r w:rsidR="00C24996" w:rsidRPr="008828B2">
        <w:rPr>
          <w:rFonts w:ascii="Montserrat" w:eastAsia="Calibri" w:hAnsi="Montserrat" w:cs="Arial"/>
          <w:bCs/>
        </w:rPr>
        <w:t>9</w:t>
      </w:r>
      <w:r w:rsidRPr="008828B2">
        <w:rPr>
          <w:rFonts w:ascii="Montserrat" w:eastAsia="Calibri" w:hAnsi="Montserrat" w:cs="Arial"/>
          <w:bCs/>
        </w:rPr>
        <w:t xml:space="preserve">, fue presentada una </w:t>
      </w:r>
      <w:r w:rsidRPr="008828B2">
        <w:rPr>
          <w:rFonts w:ascii="Montserrat" w:eastAsia="Calibri" w:hAnsi="Montserrat" w:cs="Arial"/>
          <w:b/>
          <w:bCs/>
        </w:rPr>
        <w:t>solicitud de acceso a la información pública</w:t>
      </w:r>
      <w:r w:rsidRPr="008828B2">
        <w:rPr>
          <w:rFonts w:ascii="Montserrat" w:eastAsia="Calibri" w:hAnsi="Montserrat" w:cs="Arial"/>
          <w:bCs/>
        </w:rPr>
        <w:t xml:space="preserve"> a través del Sistema de Solicitudes de Acceso a la Información (</w:t>
      </w:r>
      <w:r w:rsidRPr="008828B2">
        <w:rPr>
          <w:rFonts w:ascii="Montserrat" w:eastAsia="Calibri" w:hAnsi="Montserrat" w:cs="Arial"/>
          <w:b/>
          <w:bCs/>
        </w:rPr>
        <w:t>SISAI</w:t>
      </w:r>
      <w:r w:rsidRPr="008828B2">
        <w:rPr>
          <w:rFonts w:ascii="Montserrat" w:eastAsia="Calibri" w:hAnsi="Montserrat" w:cs="Arial"/>
          <w:bCs/>
        </w:rPr>
        <w:t>) de la Plataforma Nacional de Transparencia (</w:t>
      </w:r>
      <w:r w:rsidRPr="008828B2">
        <w:rPr>
          <w:rFonts w:ascii="Montserrat" w:eastAsia="Calibri" w:hAnsi="Montserrat" w:cs="Arial"/>
          <w:b/>
          <w:bCs/>
        </w:rPr>
        <w:t>PNT</w:t>
      </w:r>
      <w:r w:rsidRPr="008828B2">
        <w:rPr>
          <w:rFonts w:ascii="Montserrat" w:eastAsia="Calibri" w:hAnsi="Montserrat" w:cs="Arial"/>
          <w:bCs/>
        </w:rPr>
        <w:t>), en la cual se requiere:</w:t>
      </w:r>
    </w:p>
    <w:p w:rsidR="00C228F3" w:rsidRPr="008828B2" w:rsidRDefault="00C228F3" w:rsidP="00C228F3">
      <w:pPr>
        <w:jc w:val="both"/>
        <w:rPr>
          <w:rFonts w:ascii="Montserrat" w:eastAsia="Calibri" w:hAnsi="Montserrat" w:cs="Arial"/>
          <w:bCs/>
        </w:rPr>
      </w:pPr>
    </w:p>
    <w:p w:rsidR="00C24996" w:rsidRPr="008828B2" w:rsidRDefault="00C228F3" w:rsidP="00C24996">
      <w:pPr>
        <w:autoSpaceDE w:val="0"/>
        <w:autoSpaceDN w:val="0"/>
        <w:adjustRightInd w:val="0"/>
        <w:spacing w:after="120"/>
        <w:ind w:left="567" w:right="284"/>
        <w:jc w:val="both"/>
        <w:rPr>
          <w:rFonts w:ascii="Montserrat" w:hAnsi="Montserrat" w:cs="Arial"/>
          <w:i/>
          <w:sz w:val="20"/>
        </w:rPr>
      </w:pPr>
      <w:r w:rsidRPr="008828B2">
        <w:rPr>
          <w:rFonts w:ascii="Montserrat" w:hAnsi="Montserrat" w:cs="Arial"/>
          <w:i/>
          <w:sz w:val="20"/>
        </w:rPr>
        <w:t>“</w:t>
      </w:r>
      <w:r w:rsidR="00C24996" w:rsidRPr="008828B2">
        <w:rPr>
          <w:rFonts w:ascii="Montserrat" w:hAnsi="Montserrat" w:cs="Arial"/>
          <w:i/>
          <w:sz w:val="20"/>
        </w:rPr>
        <w:t xml:space="preserve">Solicito copia en formato electrónico de la Nota Verbal 30-28/43 con fecha 18 de marzo de 2017, y documentos anexos, relativa a la Exposición Internacional Astaná 2017, recibida del Gobierno de Kazajstán. </w:t>
      </w:r>
    </w:p>
    <w:p w:rsidR="00C228F3" w:rsidRPr="008828B2" w:rsidRDefault="00C24996" w:rsidP="00C24996">
      <w:pPr>
        <w:autoSpaceDE w:val="0"/>
        <w:autoSpaceDN w:val="0"/>
        <w:adjustRightInd w:val="0"/>
        <w:spacing w:after="120"/>
        <w:ind w:left="567" w:right="284"/>
        <w:jc w:val="both"/>
        <w:rPr>
          <w:rFonts w:ascii="Montserrat" w:hAnsi="Montserrat" w:cs="Arial"/>
          <w:i/>
          <w:sz w:val="20"/>
        </w:rPr>
      </w:pPr>
      <w:r w:rsidRPr="008828B2">
        <w:rPr>
          <w:rFonts w:ascii="Montserrat" w:hAnsi="Montserrat" w:cs="Arial"/>
          <w:i/>
          <w:sz w:val="20"/>
        </w:rPr>
        <w:t>Este documento puede obrar en posesión de la Dirección General para África y Medio Oriente</w:t>
      </w:r>
      <w:r w:rsidR="00C228F3" w:rsidRPr="008828B2">
        <w:rPr>
          <w:rFonts w:ascii="Montserrat" w:hAnsi="Montserrat" w:cs="Arial"/>
          <w:i/>
          <w:sz w:val="20"/>
        </w:rPr>
        <w:t>”. (Sic)</w:t>
      </w:r>
    </w:p>
    <w:p w:rsidR="00C228F3" w:rsidRPr="00F3534C" w:rsidRDefault="00C228F3" w:rsidP="00C228F3">
      <w:pPr>
        <w:jc w:val="both"/>
        <w:rPr>
          <w:rFonts w:ascii="Montserrat" w:eastAsia="Calibri" w:hAnsi="Montserrat" w:cs="Arial"/>
          <w:bCs/>
        </w:rPr>
      </w:pPr>
    </w:p>
    <w:p w:rsidR="00C228F3" w:rsidRPr="00F3534C" w:rsidRDefault="00C228F3" w:rsidP="00C228F3">
      <w:pPr>
        <w:pStyle w:val="Prrafodelista"/>
        <w:numPr>
          <w:ilvl w:val="0"/>
          <w:numId w:val="1"/>
        </w:numPr>
        <w:spacing w:after="120"/>
        <w:ind w:left="709"/>
        <w:jc w:val="both"/>
        <w:rPr>
          <w:rFonts w:ascii="Montserrat SemiBold" w:eastAsia="Calibri" w:hAnsi="Montserrat SemiBold" w:cs="Arial"/>
          <w:b/>
          <w:i/>
          <w:u w:val="single"/>
        </w:rPr>
      </w:pPr>
      <w:r w:rsidRPr="00F3534C">
        <w:rPr>
          <w:rFonts w:ascii="Montserrat SemiBold" w:eastAsia="Calibri" w:hAnsi="Montserrat SemiBold" w:cs="Arial"/>
          <w:b/>
          <w:i/>
          <w:u w:val="single"/>
        </w:rPr>
        <w:t>TURNO DE LA SOLICITUD</w:t>
      </w:r>
    </w:p>
    <w:p w:rsidR="00C228F3" w:rsidRPr="00F3534C" w:rsidRDefault="00C228F3" w:rsidP="00C24996">
      <w:pPr>
        <w:jc w:val="both"/>
        <w:rPr>
          <w:rFonts w:ascii="Montserrat" w:eastAsia="Calibri" w:hAnsi="Montserrat" w:cs="Arial"/>
          <w:bCs/>
        </w:rPr>
      </w:pPr>
      <w:r w:rsidRPr="00F3534C">
        <w:rPr>
          <w:rFonts w:ascii="Montserrat" w:eastAsia="Calibri" w:hAnsi="Montserrat" w:cs="Arial"/>
          <w:bCs/>
        </w:rPr>
        <w:t xml:space="preserve">La </w:t>
      </w:r>
      <w:r w:rsidRPr="00F3534C">
        <w:rPr>
          <w:rFonts w:ascii="Montserrat" w:eastAsia="Calibri" w:hAnsi="Montserrat" w:cs="Arial"/>
          <w:b/>
          <w:bCs/>
        </w:rPr>
        <w:t>Unidad de Transparencia</w:t>
      </w:r>
      <w:r w:rsidRPr="00F3534C">
        <w:rPr>
          <w:rFonts w:ascii="Montserrat" w:eastAsia="Calibri" w:hAnsi="Montserrat" w:cs="Arial"/>
          <w:bCs/>
        </w:rPr>
        <w:t xml:space="preserve"> turnó la solicitud de acceso a la información pública a</w:t>
      </w:r>
      <w:r w:rsidR="00791791" w:rsidRPr="00F3534C">
        <w:rPr>
          <w:rFonts w:ascii="Montserrat" w:eastAsia="Calibri" w:hAnsi="Montserrat" w:cs="Arial"/>
          <w:bCs/>
        </w:rPr>
        <w:t xml:space="preserve"> </w:t>
      </w:r>
      <w:r w:rsidR="00082518" w:rsidRPr="00F3534C">
        <w:rPr>
          <w:rFonts w:ascii="Montserrat" w:eastAsia="Calibri" w:hAnsi="Montserrat" w:cs="Arial"/>
          <w:bCs/>
        </w:rPr>
        <w:t>l</w:t>
      </w:r>
      <w:r w:rsidR="00791791" w:rsidRPr="00F3534C">
        <w:rPr>
          <w:rFonts w:ascii="Montserrat" w:eastAsia="Calibri" w:hAnsi="Montserrat" w:cs="Arial"/>
          <w:bCs/>
        </w:rPr>
        <w:t>a</w:t>
      </w:r>
      <w:r w:rsidRPr="00F3534C">
        <w:rPr>
          <w:rFonts w:ascii="Montserrat" w:eastAsia="Calibri" w:hAnsi="Montserrat" w:cs="Arial"/>
          <w:bCs/>
        </w:rPr>
        <w:t xml:space="preserve"> </w:t>
      </w:r>
      <w:r w:rsidR="00C24996" w:rsidRPr="00F3534C">
        <w:rPr>
          <w:rFonts w:ascii="Montserrat" w:eastAsia="Calibri" w:hAnsi="Montserrat" w:cs="Arial"/>
          <w:b/>
          <w:bCs/>
        </w:rPr>
        <w:t xml:space="preserve">Subsecretaría de Relaciones Exteriores </w:t>
      </w:r>
      <w:r w:rsidR="00C24996" w:rsidRPr="00F3534C">
        <w:rPr>
          <w:rFonts w:ascii="Montserrat" w:eastAsia="Calibri" w:hAnsi="Montserrat" w:cs="Arial"/>
          <w:bCs/>
        </w:rPr>
        <w:t>(</w:t>
      </w:r>
      <w:r w:rsidR="00C24996" w:rsidRPr="00F3534C">
        <w:rPr>
          <w:rFonts w:ascii="Montserrat" w:eastAsia="Calibri" w:hAnsi="Montserrat" w:cs="Arial"/>
          <w:b/>
          <w:bCs/>
        </w:rPr>
        <w:t>SSRE</w:t>
      </w:r>
      <w:r w:rsidR="00C24996" w:rsidRPr="00F3534C">
        <w:rPr>
          <w:rFonts w:ascii="Montserrat" w:eastAsia="Calibri" w:hAnsi="Montserrat" w:cs="Arial"/>
          <w:bCs/>
        </w:rPr>
        <w:t xml:space="preserve">) y a la </w:t>
      </w:r>
      <w:r w:rsidR="00C24996" w:rsidRPr="00F3534C">
        <w:rPr>
          <w:rFonts w:ascii="Montserrat" w:eastAsia="Calibri" w:hAnsi="Montserrat" w:cs="Arial"/>
          <w:b/>
          <w:bCs/>
        </w:rPr>
        <w:t xml:space="preserve">Dirección </w:t>
      </w:r>
      <w:r w:rsidR="00C24996" w:rsidRPr="00F3534C">
        <w:rPr>
          <w:rFonts w:ascii="Montserrat" w:eastAsia="Calibri" w:hAnsi="Montserrat" w:cs="Arial"/>
          <w:b/>
          <w:bCs/>
        </w:rPr>
        <w:lastRenderedPageBreak/>
        <w:t xml:space="preserve">General para </w:t>
      </w:r>
      <w:r w:rsidR="009E280E" w:rsidRPr="00F3534C">
        <w:rPr>
          <w:rFonts w:ascii="Montserrat" w:eastAsia="Calibri" w:hAnsi="Montserrat" w:cs="Arial"/>
          <w:b/>
          <w:bCs/>
        </w:rPr>
        <w:t>África</w:t>
      </w:r>
      <w:r w:rsidR="00C24996" w:rsidRPr="00F3534C">
        <w:rPr>
          <w:rFonts w:ascii="Montserrat" w:eastAsia="Calibri" w:hAnsi="Montserrat" w:cs="Arial"/>
          <w:b/>
          <w:bCs/>
        </w:rPr>
        <w:t xml:space="preserve"> y Medio Oriente</w:t>
      </w:r>
      <w:r w:rsidR="000B3B57" w:rsidRPr="00F3534C">
        <w:rPr>
          <w:rFonts w:ascii="Montserrat" w:eastAsia="Calibri" w:hAnsi="Montserrat" w:cs="Arial"/>
          <w:b/>
          <w:bCs/>
        </w:rPr>
        <w:t xml:space="preserve"> </w:t>
      </w:r>
      <w:r w:rsidRPr="00F3534C">
        <w:rPr>
          <w:rFonts w:ascii="Montserrat" w:eastAsia="Calibri" w:hAnsi="Montserrat" w:cs="Arial"/>
          <w:bCs/>
        </w:rPr>
        <w:t>(</w:t>
      </w:r>
      <w:r w:rsidRPr="00F3534C">
        <w:rPr>
          <w:rFonts w:ascii="Montserrat" w:eastAsia="Calibri" w:hAnsi="Montserrat" w:cs="Arial"/>
          <w:b/>
          <w:bCs/>
        </w:rPr>
        <w:t>DG</w:t>
      </w:r>
      <w:r w:rsidR="009E280E" w:rsidRPr="00F3534C">
        <w:rPr>
          <w:rFonts w:ascii="Montserrat" w:eastAsia="Calibri" w:hAnsi="Montserrat" w:cs="Arial"/>
          <w:b/>
          <w:bCs/>
        </w:rPr>
        <w:t>AMO</w:t>
      </w:r>
      <w:r w:rsidR="00F3534C" w:rsidRPr="00F3534C">
        <w:rPr>
          <w:rFonts w:ascii="Montserrat" w:eastAsia="Calibri" w:hAnsi="Montserrat" w:cs="Arial"/>
          <w:bCs/>
        </w:rPr>
        <w:t>), para que en el ámbito de su competencia</w:t>
      </w:r>
      <w:r w:rsidRPr="00F3534C">
        <w:rPr>
          <w:rFonts w:ascii="Montserrat" w:eastAsia="Calibri" w:hAnsi="Montserrat" w:cs="Arial"/>
          <w:bCs/>
        </w:rPr>
        <w:t xml:space="preserve"> atendieran la misma.</w:t>
      </w:r>
    </w:p>
    <w:p w:rsidR="00C228F3" w:rsidRPr="00F3534C" w:rsidRDefault="00C228F3" w:rsidP="00C228F3">
      <w:pPr>
        <w:pStyle w:val="Prrafodelista"/>
        <w:ind w:left="502"/>
        <w:jc w:val="both"/>
        <w:rPr>
          <w:rFonts w:ascii="Montserrat" w:hAnsi="Montserrat" w:cs="Arial"/>
        </w:rPr>
      </w:pPr>
    </w:p>
    <w:p w:rsidR="00C228F3" w:rsidRPr="00F3534C" w:rsidRDefault="00D80F7E" w:rsidP="00C228F3">
      <w:pPr>
        <w:pStyle w:val="Prrafodelista"/>
        <w:numPr>
          <w:ilvl w:val="0"/>
          <w:numId w:val="1"/>
        </w:numPr>
        <w:spacing w:after="120"/>
        <w:ind w:left="709"/>
        <w:jc w:val="both"/>
        <w:rPr>
          <w:rFonts w:ascii="Montserrat SemiBold" w:eastAsia="Calibri" w:hAnsi="Montserrat SemiBold" w:cs="Arial"/>
          <w:b/>
          <w:i/>
          <w:u w:val="single"/>
        </w:rPr>
      </w:pPr>
      <w:r w:rsidRPr="00F3534C">
        <w:rPr>
          <w:rFonts w:ascii="Montserrat SemiBold" w:eastAsia="Calibri" w:hAnsi="Montserrat SemiBold" w:cs="Arial"/>
          <w:b/>
          <w:i/>
          <w:u w:val="single"/>
        </w:rPr>
        <w:t>RESPUESTA</w:t>
      </w:r>
      <w:r w:rsidR="00F3534C" w:rsidRPr="00F3534C">
        <w:rPr>
          <w:rFonts w:ascii="Montserrat SemiBold" w:eastAsia="Calibri" w:hAnsi="Montserrat SemiBold" w:cs="Arial"/>
          <w:b/>
          <w:i/>
          <w:u w:val="single"/>
        </w:rPr>
        <w:t>S</w:t>
      </w:r>
      <w:r w:rsidRPr="00F3534C">
        <w:rPr>
          <w:rFonts w:ascii="Montserrat SemiBold" w:eastAsia="Calibri" w:hAnsi="Montserrat SemiBold" w:cs="Arial"/>
          <w:b/>
          <w:i/>
          <w:u w:val="single"/>
        </w:rPr>
        <w:t xml:space="preserve"> DE LA</w:t>
      </w:r>
      <w:r w:rsidR="00F3534C" w:rsidRPr="00F3534C">
        <w:rPr>
          <w:rFonts w:ascii="Montserrat SemiBold" w:eastAsia="Calibri" w:hAnsi="Montserrat SemiBold" w:cs="Arial"/>
          <w:b/>
          <w:i/>
          <w:u w:val="single"/>
        </w:rPr>
        <w:t>S</w:t>
      </w:r>
      <w:r w:rsidRPr="00F3534C">
        <w:rPr>
          <w:rFonts w:ascii="Montserrat SemiBold" w:eastAsia="Calibri" w:hAnsi="Montserrat SemiBold" w:cs="Arial"/>
          <w:b/>
          <w:i/>
          <w:u w:val="single"/>
        </w:rPr>
        <w:t xml:space="preserve"> UNIDAD</w:t>
      </w:r>
      <w:r w:rsidR="00F3534C" w:rsidRPr="00F3534C">
        <w:rPr>
          <w:rFonts w:ascii="Montserrat SemiBold" w:eastAsia="Calibri" w:hAnsi="Montserrat SemiBold" w:cs="Arial"/>
          <w:b/>
          <w:i/>
          <w:u w:val="single"/>
        </w:rPr>
        <w:t>ES</w:t>
      </w:r>
      <w:r w:rsidRPr="00F3534C">
        <w:rPr>
          <w:rFonts w:ascii="Montserrat SemiBold" w:eastAsia="Calibri" w:hAnsi="Montserrat SemiBold" w:cs="Arial"/>
          <w:b/>
          <w:i/>
          <w:u w:val="single"/>
        </w:rPr>
        <w:t xml:space="preserve"> ADMINISTRATIVA</w:t>
      </w:r>
      <w:r w:rsidR="00F3534C" w:rsidRPr="00F3534C">
        <w:rPr>
          <w:rFonts w:ascii="Montserrat SemiBold" w:eastAsia="Calibri" w:hAnsi="Montserrat SemiBold" w:cs="Arial"/>
          <w:b/>
          <w:i/>
          <w:u w:val="single"/>
        </w:rPr>
        <w:t>S</w:t>
      </w:r>
    </w:p>
    <w:p w:rsidR="009E280E" w:rsidRDefault="009E280E" w:rsidP="009E280E">
      <w:pPr>
        <w:jc w:val="both"/>
        <w:rPr>
          <w:rFonts w:ascii="Montserrat" w:eastAsia="Calibri" w:hAnsi="Montserrat" w:cs="Arial"/>
          <w:bCs/>
        </w:rPr>
      </w:pPr>
      <w:r>
        <w:rPr>
          <w:rFonts w:ascii="Montserrat" w:eastAsia="Calibri" w:hAnsi="Montserrat" w:cs="Arial"/>
          <w:bCs/>
        </w:rPr>
        <w:t>Con fecha 07</w:t>
      </w:r>
      <w:r w:rsidRPr="001D6EE3">
        <w:rPr>
          <w:rFonts w:ascii="Montserrat" w:eastAsia="Calibri" w:hAnsi="Montserrat" w:cs="Arial"/>
          <w:bCs/>
        </w:rPr>
        <w:t xml:space="preserve"> de </w:t>
      </w:r>
      <w:r>
        <w:rPr>
          <w:rFonts w:ascii="Montserrat" w:eastAsia="Calibri" w:hAnsi="Montserrat" w:cs="Arial"/>
          <w:bCs/>
        </w:rPr>
        <w:t>enero de 2019</w:t>
      </w:r>
      <w:r w:rsidRPr="001D6EE3">
        <w:rPr>
          <w:rFonts w:ascii="Montserrat" w:eastAsia="Calibri" w:hAnsi="Montserrat" w:cs="Arial"/>
          <w:bCs/>
        </w:rPr>
        <w:t xml:space="preserve">, a través de correo electrónico No. </w:t>
      </w:r>
      <w:r w:rsidRPr="00216CFE">
        <w:rPr>
          <w:rFonts w:ascii="Montserrat" w:eastAsia="Calibri" w:hAnsi="Montserrat" w:cs="Arial"/>
          <w:bCs/>
        </w:rPr>
        <w:t>AMO0008</w:t>
      </w:r>
      <w:r w:rsidRPr="001D6EE3">
        <w:rPr>
          <w:rFonts w:ascii="Montserrat" w:eastAsia="Calibri" w:hAnsi="Montserrat" w:cs="Arial"/>
          <w:bCs/>
        </w:rPr>
        <w:t xml:space="preserve">, la </w:t>
      </w:r>
      <w:r>
        <w:rPr>
          <w:rFonts w:ascii="Montserrat" w:eastAsia="Calibri" w:hAnsi="Montserrat" w:cs="Arial"/>
          <w:b/>
          <w:bCs/>
        </w:rPr>
        <w:t>DGAMO</w:t>
      </w:r>
      <w:r>
        <w:rPr>
          <w:rFonts w:ascii="Montserrat" w:eastAsia="Calibri" w:hAnsi="Montserrat" w:cs="Arial"/>
          <w:bCs/>
        </w:rPr>
        <w:t xml:space="preserve"> m</w:t>
      </w:r>
      <w:r w:rsidRPr="001D6EE3">
        <w:rPr>
          <w:rFonts w:ascii="Montserrat" w:eastAsia="Calibri" w:hAnsi="Montserrat" w:cs="Arial"/>
          <w:bCs/>
        </w:rPr>
        <w:t>anifestó lo siguiente:</w:t>
      </w:r>
    </w:p>
    <w:p w:rsidR="009E280E" w:rsidRPr="001D6EE3" w:rsidRDefault="009E280E" w:rsidP="009E280E">
      <w:pPr>
        <w:pStyle w:val="Prrafodelista"/>
        <w:rPr>
          <w:rFonts w:ascii="Montserrat" w:eastAsia="Calibri" w:hAnsi="Montserrat" w:cs="Arial"/>
          <w:bCs/>
        </w:rPr>
      </w:pPr>
    </w:p>
    <w:p w:rsidR="009E280E" w:rsidRPr="00216CFE" w:rsidRDefault="009E280E" w:rsidP="00F3534C">
      <w:pPr>
        <w:shd w:val="clear" w:color="auto" w:fill="FFFFFF"/>
        <w:spacing w:after="120"/>
        <w:ind w:left="567" w:right="616"/>
        <w:jc w:val="both"/>
        <w:rPr>
          <w:rFonts w:ascii="Montserrat" w:hAnsi="Montserrat" w:cs="Arial"/>
          <w:i/>
          <w:sz w:val="20"/>
        </w:rPr>
      </w:pPr>
      <w:r w:rsidRPr="001D6EE3">
        <w:rPr>
          <w:rFonts w:ascii="Montserrat" w:hAnsi="Montserrat" w:cs="Arial"/>
          <w:i/>
          <w:sz w:val="20"/>
        </w:rPr>
        <w:t>“</w:t>
      </w:r>
      <w:r w:rsidRPr="00216CFE">
        <w:rPr>
          <w:rFonts w:ascii="Montserrat" w:hAnsi="Montserrat" w:cs="Arial"/>
          <w:i/>
          <w:sz w:val="20"/>
        </w:rPr>
        <w:t>Sobre el particular, se informa a esa Unidad de Transparencia que la solicitud en cuestión se refiere a una Nota Verbal (nota diplomática), expedida por un gobierno extranjero, el cual no es sujeto obligado bajo la “Ley Federal de Transparencia y Acceso a la Información Pública (LFTAIP)” del 21 de abril de 2016. Por tal motivo, se encuentra clasificada como reservada por un periodo de cinco años, de conformidad con lo dispuesto en el Artículo 110, Fracciones II, III y XIII de la Ley Federal de Transparencia y Acceso a la Información Pública, con base en lo siguiente:</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El Capítulo II de la LFTAIP (“De la Información Reservada”) dispone en su Artículo 110, que… “como información reservada podrá clasificarse aquella cuya publicación:</w:t>
      </w:r>
    </w:p>
    <w:p w:rsidR="009E280E" w:rsidRPr="00216CFE" w:rsidRDefault="009E280E" w:rsidP="00F3534C">
      <w:pPr>
        <w:shd w:val="clear" w:color="auto" w:fill="FFFFFF"/>
        <w:spacing w:after="120"/>
        <w:ind w:left="851" w:right="616"/>
        <w:jc w:val="both"/>
        <w:rPr>
          <w:rFonts w:ascii="Montserrat" w:hAnsi="Montserrat" w:cs="Arial"/>
          <w:i/>
          <w:sz w:val="20"/>
        </w:rPr>
      </w:pPr>
      <w:r w:rsidRPr="00216CFE">
        <w:rPr>
          <w:rFonts w:ascii="Montserrat" w:hAnsi="Montserrat" w:cs="Arial"/>
          <w:i/>
          <w:sz w:val="20"/>
        </w:rPr>
        <w:t>II. Pueda menoscabar la conducción de las negociaciones y relaciones internacionales;</w:t>
      </w:r>
    </w:p>
    <w:p w:rsidR="009E280E" w:rsidRPr="00216CFE" w:rsidRDefault="009E280E" w:rsidP="00F3534C">
      <w:pPr>
        <w:shd w:val="clear" w:color="auto" w:fill="FFFFFF"/>
        <w:spacing w:after="120"/>
        <w:ind w:left="851" w:right="616"/>
        <w:jc w:val="both"/>
        <w:rPr>
          <w:rFonts w:ascii="Montserrat" w:hAnsi="Montserrat" w:cs="Arial"/>
          <w:i/>
          <w:sz w:val="20"/>
        </w:rPr>
      </w:pPr>
      <w:r w:rsidRPr="00216CFE">
        <w:rPr>
          <w:rFonts w:ascii="Montserrat" w:hAnsi="Montserrat" w:cs="Arial"/>
          <w:i/>
          <w:sz w:val="20"/>
        </w:rPr>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9E280E" w:rsidRPr="00216CFE" w:rsidRDefault="009E280E" w:rsidP="00F3534C">
      <w:pPr>
        <w:shd w:val="clear" w:color="auto" w:fill="FFFFFF"/>
        <w:spacing w:after="120"/>
        <w:ind w:left="851" w:right="616"/>
        <w:jc w:val="both"/>
        <w:rPr>
          <w:rFonts w:ascii="Montserrat" w:hAnsi="Montserrat" w:cs="Arial"/>
          <w:i/>
          <w:sz w:val="20"/>
        </w:rPr>
      </w:pPr>
      <w:r w:rsidRPr="00216CFE">
        <w:rPr>
          <w:rFonts w:ascii="Montserrat" w:hAnsi="Montserrat" w:cs="Arial"/>
          <w:i/>
          <w:sz w:val="20"/>
        </w:rPr>
        <w:t xml:space="preserve">XIII. Las que por disposición expresa de una ley tengan tal carácter, siempre que sean acordes con las bases, principios y disposiciones establecidos en la Ley General y esta Ley y no las contravengan; </w:t>
      </w:r>
      <w:r w:rsidRPr="00216CFE">
        <w:rPr>
          <w:rFonts w:ascii="Montserrat" w:hAnsi="Montserrat" w:cs="Arial"/>
          <w:i/>
          <w:sz w:val="20"/>
          <w:u w:val="single"/>
        </w:rPr>
        <w:t>así como las previstas en tratados internacionales”</w:t>
      </w:r>
      <w:r w:rsidRPr="00216CFE">
        <w:rPr>
          <w:rFonts w:ascii="Montserrat" w:hAnsi="Montserrat" w:cs="Arial"/>
          <w:i/>
          <w:sz w:val="20"/>
        </w:rPr>
        <w:t xml:space="preserve">. </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lastRenderedPageBreak/>
        <w:t>En relación con la Fracción XIII, la “Convención de Viena sobre Relaciones  Diplomáticas (CVRD)” del 18 de abril de 1961, de la que México es parte, instruye:</w:t>
      </w:r>
    </w:p>
    <w:p w:rsidR="009E280E" w:rsidRPr="00216CFE" w:rsidRDefault="009E280E" w:rsidP="00F3534C">
      <w:pPr>
        <w:shd w:val="clear" w:color="auto" w:fill="FFFFFF"/>
        <w:spacing w:after="120"/>
        <w:ind w:left="851" w:right="616"/>
        <w:jc w:val="both"/>
        <w:rPr>
          <w:rFonts w:ascii="Montserrat" w:hAnsi="Montserrat" w:cs="Arial"/>
          <w:i/>
          <w:sz w:val="20"/>
        </w:rPr>
      </w:pPr>
      <w:r w:rsidRPr="00216CFE">
        <w:rPr>
          <w:rFonts w:ascii="Montserrat" w:hAnsi="Montserrat" w:cs="Arial"/>
          <w:i/>
          <w:sz w:val="20"/>
        </w:rPr>
        <w:t xml:space="preserve">Artículo 24.- Los archivos y documentos de la misión diplomática son siempre inviolables, </w:t>
      </w:r>
      <w:r w:rsidRPr="00216CFE">
        <w:rPr>
          <w:rFonts w:ascii="Montserrat" w:hAnsi="Montserrat" w:cs="Arial"/>
          <w:i/>
          <w:sz w:val="20"/>
          <w:u w:val="single"/>
        </w:rPr>
        <w:t>dondequiera que se hallen</w:t>
      </w:r>
      <w:r w:rsidRPr="00216CFE">
        <w:rPr>
          <w:rFonts w:ascii="Montserrat" w:hAnsi="Montserrat" w:cs="Arial"/>
          <w:i/>
          <w:sz w:val="20"/>
        </w:rPr>
        <w:t xml:space="preserve">. </w:t>
      </w:r>
    </w:p>
    <w:p w:rsidR="009E280E" w:rsidRPr="00216CFE" w:rsidRDefault="009E280E" w:rsidP="00F3534C">
      <w:pPr>
        <w:shd w:val="clear" w:color="auto" w:fill="FFFFFF"/>
        <w:spacing w:after="120"/>
        <w:ind w:left="851" w:right="616"/>
        <w:jc w:val="both"/>
        <w:rPr>
          <w:rFonts w:ascii="Montserrat" w:hAnsi="Montserrat" w:cs="Arial"/>
          <w:i/>
          <w:sz w:val="20"/>
        </w:rPr>
      </w:pPr>
      <w:r w:rsidRPr="00216CFE">
        <w:rPr>
          <w:rFonts w:ascii="Montserrat" w:hAnsi="Montserrat" w:cs="Arial"/>
          <w:i/>
          <w:sz w:val="20"/>
        </w:rPr>
        <w:t xml:space="preserve">Artículo 27.- La correspondencia oficial de la misión es inviolable. Por correspondencia oficial se entiende toda correspondencia concerniente a la misión y a sus funciones. </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A este respecto, la Dirección General para África y Medio Oriente desea subrayar que la entrega de los documentos requeridos puede ocasionar un daño presente, probable y específico, conforme a las siguientes consideraciones:</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 xml:space="preserve">1.- La nota diplomática y su anexo a la que hace referencia la solicitud de acceso a la información en comento son documentos que se hallan en el supuesto del Artículo 27 de la CVRD, al haber sido emitidos por una misión extranjera,  por lo que estarían sujetos al principio de inviolabilidad dispuesto en el Artículo 24 de la citada Convención, ya que esa disposición instruye que los documentos tienen carácter inviolable “dondequiera que se hallen”. Con base en la práctica diplomática entre estados, la inviolabilidad es entendida como equivalente al estado de confidencialidad. </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 xml:space="preserve">2.- Lo anterior, también en consonancia con el punto XIII del Artículo 110 de la LFTAIP, que dispone expresamente el respeto a las disposiciones previstas en tratados internacionales, como lo es la CVRD. </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3.- Al entregar copia física o digital de la nota requerida y sus anexos, el Estado mexicano estaría violando obligaciones internacionales establecidas en la Convención de Viena sobre Relaciones Diplomáticas, la cual es Ley Suprema de la Unión conforme a lo dispuesto en el artículo 133 de la Constitución Política de los Estados Unidos Mexicanos, así como la práctica entre sujetos de derecho internacional.</w:t>
      </w:r>
    </w:p>
    <w:p w:rsidR="009E280E" w:rsidRPr="00216CFE" w:rsidRDefault="009E280E" w:rsidP="00F3534C">
      <w:pPr>
        <w:shd w:val="clear" w:color="auto" w:fill="FFFFFF"/>
        <w:spacing w:after="120"/>
        <w:ind w:left="567" w:right="616"/>
        <w:jc w:val="both"/>
        <w:rPr>
          <w:rFonts w:ascii="Montserrat" w:hAnsi="Montserrat" w:cs="Arial"/>
          <w:i/>
          <w:sz w:val="20"/>
        </w:rPr>
      </w:pPr>
      <w:r w:rsidRPr="00216CFE">
        <w:rPr>
          <w:rFonts w:ascii="Montserrat" w:hAnsi="Montserrat" w:cs="Arial"/>
          <w:i/>
          <w:sz w:val="20"/>
        </w:rPr>
        <w:t xml:space="preserve">4.-  Adicionalmente, podría menoscabar la conducción de las negociaciones y relaciones internacionales con un gobierno extranjero, ya </w:t>
      </w:r>
      <w:r w:rsidRPr="00216CFE">
        <w:rPr>
          <w:rFonts w:ascii="Montserrat" w:hAnsi="Montserrat" w:cs="Arial"/>
          <w:i/>
          <w:sz w:val="20"/>
        </w:rPr>
        <w:lastRenderedPageBreak/>
        <w:t>que se corre el riesgo de que la información se utilice de manera inadecuada, faltando a la expectativa de confidencialidad y discrecionalidad con la que deben ser tratadas las comunicaciones entre Estados, cuestionándose la reciprocidad que México reconoce en el tratamiento a comunicaciones entre dos entes soberanos, intercambiadas por la vía diplomática.</w:t>
      </w:r>
    </w:p>
    <w:p w:rsidR="009E280E" w:rsidRPr="001D6EE3" w:rsidRDefault="009E280E" w:rsidP="00F3534C">
      <w:pPr>
        <w:shd w:val="clear" w:color="auto" w:fill="FFFFFF"/>
        <w:spacing w:after="120"/>
        <w:ind w:left="567" w:right="618"/>
        <w:jc w:val="both"/>
        <w:rPr>
          <w:rFonts w:ascii="Montserrat" w:hAnsi="Montserrat" w:cs="Arial"/>
          <w:i/>
          <w:sz w:val="20"/>
        </w:rPr>
      </w:pPr>
      <w:r w:rsidRPr="00216CFE">
        <w:rPr>
          <w:rFonts w:ascii="Montserrat" w:hAnsi="Montserrat" w:cs="Arial"/>
          <w:i/>
          <w:sz w:val="20"/>
        </w:rPr>
        <w:t>Por lo anterior, la Dirección General para África y Medio Oriente informa a la Unidad de Transparencia que la copia de la Nota Verbal 30-28/43 y sus anexos, expedidos por la Embajada de Kazajstán en México con fecha 18 de marzo de 2017, están clasificados como reservados por cinco años de conformidad con las disposiciones de las fracciones II, III y XIII de la LFTAI</w:t>
      </w:r>
      <w:r>
        <w:rPr>
          <w:rFonts w:ascii="Montserrat" w:hAnsi="Montserrat" w:cs="Arial"/>
          <w:i/>
          <w:sz w:val="20"/>
        </w:rPr>
        <w:t xml:space="preserve">”. </w:t>
      </w:r>
      <w:r w:rsidRPr="001D6EE3">
        <w:rPr>
          <w:rFonts w:ascii="Montserrat" w:hAnsi="Montserrat" w:cs="Arial"/>
          <w:i/>
          <w:sz w:val="20"/>
        </w:rPr>
        <w:t>(Sic)</w:t>
      </w:r>
    </w:p>
    <w:p w:rsidR="009E280E" w:rsidRPr="001D6EE3" w:rsidRDefault="009E280E" w:rsidP="009E280E">
      <w:pPr>
        <w:jc w:val="both"/>
        <w:rPr>
          <w:rFonts w:ascii="Montserrat" w:eastAsia="Calibri" w:hAnsi="Montserrat" w:cs="Arial"/>
          <w:bCs/>
        </w:rPr>
      </w:pPr>
    </w:p>
    <w:p w:rsidR="009E280E" w:rsidRPr="001D6EE3" w:rsidRDefault="009E280E" w:rsidP="009E280E">
      <w:pPr>
        <w:jc w:val="both"/>
        <w:rPr>
          <w:rFonts w:ascii="Montserrat" w:eastAsia="Calibri" w:hAnsi="Montserrat" w:cs="Arial"/>
          <w:bCs/>
        </w:rPr>
      </w:pPr>
      <w:r>
        <w:rPr>
          <w:rFonts w:ascii="Montserrat" w:eastAsia="Calibri" w:hAnsi="Montserrat" w:cs="Arial"/>
          <w:bCs/>
        </w:rPr>
        <w:t>Con fecha 11</w:t>
      </w:r>
      <w:r w:rsidRPr="001D6EE3">
        <w:rPr>
          <w:rFonts w:ascii="Montserrat" w:eastAsia="Calibri" w:hAnsi="Montserrat" w:cs="Arial"/>
          <w:bCs/>
        </w:rPr>
        <w:t xml:space="preserve"> de </w:t>
      </w:r>
      <w:r>
        <w:rPr>
          <w:rFonts w:ascii="Montserrat" w:eastAsia="Calibri" w:hAnsi="Montserrat" w:cs="Arial"/>
          <w:bCs/>
        </w:rPr>
        <w:t>enero</w:t>
      </w:r>
      <w:r w:rsidRPr="001D6EE3">
        <w:rPr>
          <w:rFonts w:ascii="Montserrat" w:eastAsia="Calibri" w:hAnsi="Montserrat" w:cs="Arial"/>
          <w:bCs/>
        </w:rPr>
        <w:t xml:space="preserve"> de </w:t>
      </w:r>
      <w:r w:rsidRPr="005D3378">
        <w:rPr>
          <w:rFonts w:ascii="Montserrat" w:eastAsia="Calibri" w:hAnsi="Montserrat" w:cs="Arial"/>
          <w:bCs/>
        </w:rPr>
        <w:t>201</w:t>
      </w:r>
      <w:r>
        <w:rPr>
          <w:rFonts w:ascii="Montserrat" w:eastAsia="Calibri" w:hAnsi="Montserrat" w:cs="Arial"/>
          <w:bCs/>
        </w:rPr>
        <w:t>9</w:t>
      </w:r>
      <w:r w:rsidRPr="005D3378">
        <w:rPr>
          <w:rFonts w:ascii="Montserrat" w:eastAsia="Calibri" w:hAnsi="Montserrat" w:cs="Arial"/>
          <w:bCs/>
        </w:rPr>
        <w:t xml:space="preserve">, la </w:t>
      </w:r>
      <w:r w:rsidRPr="005D3378">
        <w:rPr>
          <w:rFonts w:ascii="Montserrat" w:eastAsia="Calibri" w:hAnsi="Montserrat" w:cs="Arial"/>
          <w:b/>
          <w:bCs/>
        </w:rPr>
        <w:t>SSRE</w:t>
      </w:r>
      <w:r w:rsidRPr="005D3378">
        <w:rPr>
          <w:rFonts w:ascii="Montserrat" w:eastAsia="Calibri" w:hAnsi="Montserrat" w:cs="Arial"/>
          <w:bCs/>
        </w:rPr>
        <w:t>, a través de correo</w:t>
      </w:r>
      <w:r>
        <w:rPr>
          <w:rFonts w:ascii="Montserrat" w:eastAsia="Calibri" w:hAnsi="Montserrat" w:cs="Arial"/>
          <w:bCs/>
        </w:rPr>
        <w:t xml:space="preserve"> electrónico No. </w:t>
      </w:r>
      <w:r w:rsidRPr="000740A6">
        <w:rPr>
          <w:rFonts w:ascii="Montserrat" w:eastAsia="Calibri" w:hAnsi="Montserrat" w:cs="Arial"/>
          <w:bCs/>
        </w:rPr>
        <w:t>SSRE-00036</w:t>
      </w:r>
      <w:r w:rsidRPr="001D6EE3">
        <w:rPr>
          <w:rFonts w:ascii="Montserrat" w:eastAsia="Calibri" w:hAnsi="Montserrat" w:cs="Arial"/>
          <w:bCs/>
        </w:rPr>
        <w:t>, manifestó lo siguiente:</w:t>
      </w:r>
    </w:p>
    <w:p w:rsidR="009E280E" w:rsidRPr="001D6EE3" w:rsidRDefault="009E280E" w:rsidP="009E280E">
      <w:pPr>
        <w:jc w:val="both"/>
        <w:rPr>
          <w:rFonts w:ascii="Montserrat" w:eastAsia="Calibri" w:hAnsi="Montserrat" w:cs="Arial"/>
          <w:bCs/>
        </w:rPr>
      </w:pPr>
    </w:p>
    <w:p w:rsidR="009E280E" w:rsidRPr="00006D74" w:rsidRDefault="009E280E" w:rsidP="00F3534C">
      <w:pPr>
        <w:autoSpaceDE w:val="0"/>
        <w:autoSpaceDN w:val="0"/>
        <w:adjustRightInd w:val="0"/>
        <w:spacing w:after="120"/>
        <w:ind w:left="567" w:right="284"/>
        <w:jc w:val="both"/>
        <w:rPr>
          <w:rFonts w:ascii="Montserrat" w:hAnsi="Montserrat" w:cs="Arial"/>
          <w:i/>
          <w:sz w:val="20"/>
        </w:rPr>
      </w:pPr>
      <w:r w:rsidRPr="00006D74">
        <w:rPr>
          <w:rFonts w:ascii="Montserrat" w:hAnsi="Montserrat" w:cs="Arial"/>
          <w:i/>
          <w:sz w:val="20"/>
        </w:rPr>
        <w:t>“</w:t>
      </w:r>
      <w:r w:rsidRPr="000740A6">
        <w:rPr>
          <w:rFonts w:ascii="Montserrat" w:hAnsi="Montserrat"/>
          <w:i/>
          <w:sz w:val="20"/>
        </w:rPr>
        <w:t>Sobre el particular, se informa a esa Unidad de Transparencia que esta Subsecretaría se aviene a la respuesta proporcionada por la Dirección General para África y Medio Oriente, mediante correo electrónico AMO0008, del 7 de enero en curso</w:t>
      </w:r>
      <w:r w:rsidRPr="00006D74">
        <w:rPr>
          <w:rFonts w:ascii="Montserrat" w:hAnsi="Montserrat" w:cs="Arial"/>
          <w:i/>
          <w:sz w:val="20"/>
        </w:rPr>
        <w:t>.” (Sic)</w:t>
      </w:r>
    </w:p>
    <w:p w:rsidR="00C228F3" w:rsidRPr="00E17A43" w:rsidRDefault="00C228F3" w:rsidP="00C228F3">
      <w:pPr>
        <w:ind w:right="335"/>
        <w:jc w:val="both"/>
        <w:rPr>
          <w:rFonts w:ascii="Montserrat" w:eastAsia="Calibri" w:hAnsi="Montserrat" w:cs="Arial"/>
          <w:bCs/>
        </w:rPr>
      </w:pPr>
    </w:p>
    <w:p w:rsidR="00DA04A4" w:rsidRPr="00E17A43" w:rsidRDefault="00DA04A4" w:rsidP="00DA04A4">
      <w:pPr>
        <w:pStyle w:val="Prrafodelista"/>
        <w:numPr>
          <w:ilvl w:val="0"/>
          <w:numId w:val="1"/>
        </w:numPr>
        <w:spacing w:after="120"/>
        <w:ind w:left="709"/>
        <w:jc w:val="both"/>
        <w:rPr>
          <w:rFonts w:ascii="Montserrat SemiBold" w:eastAsia="Calibri" w:hAnsi="Montserrat SemiBold" w:cs="Arial"/>
          <w:b/>
          <w:i/>
          <w:u w:val="single"/>
        </w:rPr>
      </w:pPr>
      <w:r w:rsidRPr="00E17A43">
        <w:rPr>
          <w:rFonts w:ascii="Montserrat SemiBold" w:eastAsia="Calibri" w:hAnsi="Montserrat SemiBold" w:cs="Arial"/>
          <w:b/>
          <w:i/>
          <w:u w:val="single"/>
        </w:rPr>
        <w:t>RESPUESTA AL SOLICITANTE</w:t>
      </w:r>
    </w:p>
    <w:p w:rsidR="00DA04A4" w:rsidRPr="00E17A43" w:rsidRDefault="00DA04A4" w:rsidP="00DA04A4">
      <w:pPr>
        <w:jc w:val="both"/>
        <w:rPr>
          <w:rFonts w:ascii="Montserrat" w:eastAsia="Calibri" w:hAnsi="Montserrat" w:cs="Arial"/>
          <w:bCs/>
        </w:rPr>
      </w:pPr>
      <w:r w:rsidRPr="00E17A43">
        <w:rPr>
          <w:rFonts w:ascii="Montserrat" w:eastAsia="Calibri" w:hAnsi="Montserrat" w:cs="Arial"/>
          <w:bCs/>
        </w:rPr>
        <w:t xml:space="preserve">Con fecha </w:t>
      </w:r>
      <w:r w:rsidR="009E280E" w:rsidRPr="00E17A43">
        <w:rPr>
          <w:rFonts w:ascii="Montserrat" w:eastAsia="Calibri" w:hAnsi="Montserrat" w:cs="Arial"/>
          <w:bCs/>
        </w:rPr>
        <w:t>05</w:t>
      </w:r>
      <w:r w:rsidRPr="00E17A43">
        <w:rPr>
          <w:rFonts w:ascii="Montserrat" w:eastAsia="Calibri" w:hAnsi="Montserrat" w:cs="Arial"/>
          <w:bCs/>
        </w:rPr>
        <w:t xml:space="preserve"> de </w:t>
      </w:r>
      <w:r w:rsidR="009E280E" w:rsidRPr="00E17A43">
        <w:rPr>
          <w:rFonts w:ascii="Montserrat" w:eastAsia="Calibri" w:hAnsi="Montserrat" w:cs="Arial"/>
          <w:bCs/>
        </w:rPr>
        <w:t>febr</w:t>
      </w:r>
      <w:r w:rsidR="00C70EEB" w:rsidRPr="00E17A43">
        <w:rPr>
          <w:rFonts w:ascii="Montserrat" w:eastAsia="Calibri" w:hAnsi="Montserrat" w:cs="Arial"/>
          <w:bCs/>
        </w:rPr>
        <w:t>ero</w:t>
      </w:r>
      <w:r w:rsidRPr="00E17A43">
        <w:rPr>
          <w:rFonts w:ascii="Montserrat" w:eastAsia="Calibri" w:hAnsi="Montserrat" w:cs="Arial"/>
          <w:bCs/>
        </w:rPr>
        <w:t xml:space="preserve"> de 201</w:t>
      </w:r>
      <w:r w:rsidR="00C70EEB" w:rsidRPr="00E17A43">
        <w:rPr>
          <w:rFonts w:ascii="Montserrat" w:eastAsia="Calibri" w:hAnsi="Montserrat" w:cs="Arial"/>
          <w:bCs/>
        </w:rPr>
        <w:t>9</w:t>
      </w:r>
      <w:r w:rsidRPr="00E17A43">
        <w:rPr>
          <w:rFonts w:ascii="Montserrat" w:eastAsia="Calibri" w:hAnsi="Montserrat" w:cs="Arial"/>
          <w:bCs/>
        </w:rPr>
        <w:t xml:space="preserve">, la Unidad de Transparencia </w:t>
      </w:r>
      <w:r w:rsidR="00F715BF" w:rsidRPr="00E17A43">
        <w:rPr>
          <w:rFonts w:ascii="Montserrat" w:eastAsia="Calibri" w:hAnsi="Montserrat" w:cs="Arial"/>
          <w:bCs/>
        </w:rPr>
        <w:t>entregó</w:t>
      </w:r>
      <w:r w:rsidRPr="00E17A43">
        <w:rPr>
          <w:rFonts w:ascii="Montserrat" w:eastAsia="Calibri" w:hAnsi="Montserrat" w:cs="Arial"/>
          <w:bCs/>
        </w:rPr>
        <w:t xml:space="preserve"> al solicitante a través del </w:t>
      </w:r>
      <w:r w:rsidRPr="00E17A43">
        <w:rPr>
          <w:rFonts w:ascii="Montserrat" w:eastAsia="Calibri" w:hAnsi="Montserrat" w:cs="Arial"/>
          <w:b/>
          <w:bCs/>
        </w:rPr>
        <w:t>SISAI</w:t>
      </w:r>
      <w:r w:rsidRPr="00E17A43">
        <w:rPr>
          <w:rFonts w:ascii="Montserrat" w:eastAsia="Calibri" w:hAnsi="Montserrat" w:cs="Arial"/>
          <w:bCs/>
        </w:rPr>
        <w:t xml:space="preserve">, la resolución </w:t>
      </w:r>
      <w:r w:rsidRPr="00E17A43">
        <w:rPr>
          <w:rFonts w:ascii="Montserrat" w:eastAsia="Calibri" w:hAnsi="Montserrat" w:cs="Arial"/>
          <w:b/>
          <w:bCs/>
        </w:rPr>
        <w:t>CTA-</w:t>
      </w:r>
      <w:r w:rsidR="007B7A1D" w:rsidRPr="00E17A43">
        <w:rPr>
          <w:rFonts w:ascii="Montserrat" w:eastAsia="Calibri" w:hAnsi="Montserrat" w:cs="Arial"/>
          <w:b/>
          <w:bCs/>
        </w:rPr>
        <w:t>0</w:t>
      </w:r>
      <w:r w:rsidR="009E280E" w:rsidRPr="00E17A43">
        <w:rPr>
          <w:rFonts w:ascii="Montserrat" w:eastAsia="Calibri" w:hAnsi="Montserrat" w:cs="Arial"/>
          <w:b/>
          <w:bCs/>
        </w:rPr>
        <w:t>19</w:t>
      </w:r>
      <w:r w:rsidR="007B7A1D" w:rsidRPr="00E17A43">
        <w:rPr>
          <w:rFonts w:ascii="Montserrat" w:eastAsia="Calibri" w:hAnsi="Montserrat" w:cs="Arial"/>
          <w:b/>
          <w:bCs/>
        </w:rPr>
        <w:t>/19</w:t>
      </w:r>
      <w:r w:rsidRPr="00E17A43">
        <w:rPr>
          <w:rFonts w:ascii="Montserrat" w:eastAsia="Calibri" w:hAnsi="Montserrat" w:cs="Arial"/>
          <w:bCs/>
        </w:rPr>
        <w:t>.</w:t>
      </w:r>
    </w:p>
    <w:p w:rsidR="000432C0" w:rsidRPr="00E17A43" w:rsidRDefault="000432C0" w:rsidP="00C228F3">
      <w:pPr>
        <w:jc w:val="both"/>
        <w:rPr>
          <w:rFonts w:ascii="Montserrat" w:eastAsia="Calibri" w:hAnsi="Montserrat" w:cs="Arial"/>
          <w:bCs/>
        </w:rPr>
      </w:pPr>
    </w:p>
    <w:p w:rsidR="00DA04A4" w:rsidRPr="007378D5" w:rsidRDefault="00DA04A4" w:rsidP="00DA04A4">
      <w:pPr>
        <w:pStyle w:val="Prrafodelista"/>
        <w:numPr>
          <w:ilvl w:val="0"/>
          <w:numId w:val="1"/>
        </w:numPr>
        <w:spacing w:after="120"/>
        <w:ind w:left="709"/>
        <w:jc w:val="both"/>
        <w:rPr>
          <w:rFonts w:ascii="Montserrat SemiBold" w:eastAsia="Calibri" w:hAnsi="Montserrat SemiBold" w:cs="Arial"/>
          <w:b/>
          <w:i/>
          <w:u w:val="single"/>
        </w:rPr>
      </w:pPr>
      <w:r w:rsidRPr="007378D5">
        <w:rPr>
          <w:rFonts w:ascii="Montserrat SemiBold" w:eastAsia="Calibri" w:hAnsi="Montserrat SemiBold" w:cs="Arial"/>
          <w:b/>
          <w:i/>
          <w:u w:val="single"/>
        </w:rPr>
        <w:t>RECURSO DE REVISIÓN</w:t>
      </w:r>
    </w:p>
    <w:p w:rsidR="00DA04A4" w:rsidRPr="007378D5" w:rsidRDefault="00DA04A4" w:rsidP="00DA04A4">
      <w:pPr>
        <w:jc w:val="both"/>
        <w:rPr>
          <w:rFonts w:ascii="Montserrat" w:eastAsia="Calibri" w:hAnsi="Montserrat" w:cs="Arial"/>
          <w:bCs/>
        </w:rPr>
      </w:pPr>
      <w:r w:rsidRPr="007378D5">
        <w:rPr>
          <w:rFonts w:ascii="Montserrat" w:eastAsia="Calibri" w:hAnsi="Montserrat" w:cs="Arial"/>
          <w:bCs/>
        </w:rPr>
        <w:t xml:space="preserve">Inconforme con la respuesta, el particular interpuso recurso de revisión ante el </w:t>
      </w:r>
      <w:r w:rsidRPr="007378D5">
        <w:rPr>
          <w:rFonts w:ascii="Montserrat" w:eastAsia="Calibri" w:hAnsi="Montserrat" w:cs="Arial"/>
          <w:b/>
          <w:bCs/>
        </w:rPr>
        <w:t>INAI</w:t>
      </w:r>
      <w:r w:rsidRPr="007378D5">
        <w:rPr>
          <w:rFonts w:ascii="Montserrat" w:eastAsia="Calibri" w:hAnsi="Montserrat" w:cs="Arial"/>
          <w:bCs/>
        </w:rPr>
        <w:t xml:space="preserve">, al cual correspondió el número de expediente </w:t>
      </w:r>
      <w:r w:rsidRPr="007378D5">
        <w:rPr>
          <w:rFonts w:ascii="Montserrat" w:eastAsia="Calibri" w:hAnsi="Montserrat" w:cs="Arial"/>
          <w:b/>
          <w:bCs/>
        </w:rPr>
        <w:t>RRA 1</w:t>
      </w:r>
      <w:r w:rsidR="00C70EEB" w:rsidRPr="007378D5">
        <w:rPr>
          <w:rFonts w:ascii="Montserrat" w:eastAsia="Calibri" w:hAnsi="Montserrat" w:cs="Arial"/>
          <w:b/>
          <w:bCs/>
        </w:rPr>
        <w:t>5</w:t>
      </w:r>
      <w:r w:rsidR="009E280E" w:rsidRPr="007378D5">
        <w:rPr>
          <w:rFonts w:ascii="Montserrat" w:eastAsia="Calibri" w:hAnsi="Montserrat" w:cs="Arial"/>
          <w:b/>
          <w:bCs/>
        </w:rPr>
        <w:t>42</w:t>
      </w:r>
      <w:r w:rsidRPr="007378D5">
        <w:rPr>
          <w:rFonts w:ascii="Montserrat" w:eastAsia="Calibri" w:hAnsi="Montserrat" w:cs="Arial"/>
          <w:b/>
          <w:bCs/>
        </w:rPr>
        <w:t>/1</w:t>
      </w:r>
      <w:r w:rsidR="009E280E" w:rsidRPr="007378D5">
        <w:rPr>
          <w:rFonts w:ascii="Montserrat" w:eastAsia="Calibri" w:hAnsi="Montserrat" w:cs="Arial"/>
          <w:b/>
          <w:bCs/>
        </w:rPr>
        <w:t>9</w:t>
      </w:r>
      <w:r w:rsidRPr="007378D5">
        <w:rPr>
          <w:rFonts w:ascii="Montserrat" w:eastAsia="Calibri" w:hAnsi="Montserrat" w:cs="Arial"/>
          <w:bCs/>
        </w:rPr>
        <w:t xml:space="preserve">, de conformidad con el Acuerdo de Admisión notificado a este sujeto obligado, a través del Sistema de la </w:t>
      </w:r>
      <w:r w:rsidRPr="007378D5">
        <w:rPr>
          <w:rFonts w:ascii="Montserrat" w:eastAsia="Calibri" w:hAnsi="Montserrat" w:cs="Arial"/>
          <w:b/>
          <w:bCs/>
        </w:rPr>
        <w:t>PNT</w:t>
      </w:r>
      <w:r w:rsidRPr="007378D5">
        <w:rPr>
          <w:rFonts w:ascii="Montserrat" w:eastAsia="Calibri" w:hAnsi="Montserrat" w:cs="Arial"/>
          <w:bCs/>
        </w:rPr>
        <w:t xml:space="preserve">: Sistema de Gestión de Medios de Impugnación </w:t>
      </w:r>
      <w:r w:rsidRPr="007378D5">
        <w:rPr>
          <w:rFonts w:ascii="Montserrat" w:eastAsia="Calibri" w:hAnsi="Montserrat" w:cs="Arial"/>
          <w:bCs/>
        </w:rPr>
        <w:lastRenderedPageBreak/>
        <w:t>y Sistema de Comunicación entre Organismos Garantes y Sujetos Obligados (</w:t>
      </w:r>
      <w:r w:rsidRPr="007378D5">
        <w:rPr>
          <w:rFonts w:ascii="Montserrat" w:eastAsia="Calibri" w:hAnsi="Montserrat" w:cs="Arial"/>
          <w:b/>
          <w:bCs/>
        </w:rPr>
        <w:t>SIGEMI-SICOM</w:t>
      </w:r>
      <w:r w:rsidRPr="007378D5">
        <w:rPr>
          <w:rFonts w:ascii="Montserrat" w:eastAsia="Calibri" w:hAnsi="Montserrat" w:cs="Arial"/>
          <w:bCs/>
        </w:rPr>
        <w:t>), en el cual el particular señaló como agravios:</w:t>
      </w:r>
    </w:p>
    <w:p w:rsidR="00DA04A4" w:rsidRPr="007378D5" w:rsidRDefault="00DA04A4" w:rsidP="00DA04A4">
      <w:pPr>
        <w:jc w:val="both"/>
        <w:rPr>
          <w:rFonts w:ascii="Montserrat" w:eastAsia="Calibri" w:hAnsi="Montserrat" w:cs="Arial"/>
          <w:bCs/>
        </w:rPr>
      </w:pPr>
    </w:p>
    <w:p w:rsidR="009E280E" w:rsidRPr="009E280E" w:rsidRDefault="00DA04A4" w:rsidP="009E280E">
      <w:pPr>
        <w:autoSpaceDE w:val="0"/>
        <w:autoSpaceDN w:val="0"/>
        <w:adjustRightInd w:val="0"/>
        <w:spacing w:after="120"/>
        <w:ind w:left="567" w:right="284"/>
        <w:jc w:val="both"/>
        <w:rPr>
          <w:rFonts w:ascii="Montserrat" w:hAnsi="Montserrat"/>
          <w:i/>
          <w:sz w:val="20"/>
          <w:szCs w:val="20"/>
        </w:rPr>
      </w:pPr>
      <w:r w:rsidRPr="007378D5">
        <w:rPr>
          <w:rFonts w:ascii="Montserrat" w:hAnsi="Montserrat"/>
          <w:i/>
          <w:sz w:val="20"/>
          <w:szCs w:val="20"/>
        </w:rPr>
        <w:t>“</w:t>
      </w:r>
      <w:r w:rsidR="009E280E" w:rsidRPr="007378D5">
        <w:rPr>
          <w:rFonts w:ascii="Montserrat" w:hAnsi="Montserrat"/>
          <w:i/>
          <w:sz w:val="20"/>
          <w:szCs w:val="20"/>
        </w:rPr>
        <w:t>Interpongo recurso de revisión por la negativa de acceso a la información. Pido que se me entregue la infor</w:t>
      </w:r>
      <w:r w:rsidR="009E280E" w:rsidRPr="009E280E">
        <w:rPr>
          <w:rFonts w:ascii="Montserrat" w:hAnsi="Montserrat"/>
          <w:i/>
          <w:sz w:val="20"/>
          <w:szCs w:val="20"/>
        </w:rPr>
        <w:t>mación solicitada.</w:t>
      </w:r>
    </w:p>
    <w:p w:rsidR="00DA04A4" w:rsidRPr="007378D5" w:rsidRDefault="009E280E" w:rsidP="009E280E">
      <w:pPr>
        <w:autoSpaceDE w:val="0"/>
        <w:autoSpaceDN w:val="0"/>
        <w:adjustRightInd w:val="0"/>
        <w:spacing w:after="120"/>
        <w:ind w:left="567" w:right="284"/>
        <w:jc w:val="both"/>
        <w:rPr>
          <w:rFonts w:ascii="Montserrat" w:eastAsia="Calibri" w:hAnsi="Montserrat" w:cs="Arial"/>
          <w:bCs/>
          <w:i/>
          <w:sz w:val="20"/>
          <w:szCs w:val="20"/>
        </w:rPr>
      </w:pPr>
      <w:r w:rsidRPr="009E280E">
        <w:rPr>
          <w:rFonts w:ascii="Montserrat" w:hAnsi="Montserrat"/>
          <w:i/>
          <w:sz w:val="20"/>
          <w:szCs w:val="20"/>
        </w:rPr>
        <w:t xml:space="preserve">Solicité copia en formato electrónico de la Nota Verbal 30-28/43 con fecha 18 de marzo de 2017, y documentos anexos, relativa a la Exposición Internacional Astaná 2017, recibida del Gobierno de Kazajstán.  La Secretaría de Relaciones Exteriores respondió que la información está reservada por 5 años, de acuerdo con el artículo 110, XIII, de la LFTAIP, y los artículos 24 y 27 de la Convención de Viena sobre Relaciones Diplomáticas.   Dicha justificación no se sostiene por las siguientes razones:  La inviolabilidad de los archivos, documentos y correspondencia de las misiones diplomáticas se refiere a que "ni las autoridades del Estado receptor, ni sus habitantes pueden afectar de ningún modo a la persona o libertad del representante diplomático" (https://centrogilbertobosques.senado.gob.mx/docs/serieapuntesderecho8.pdf). La misión diplomática de Kazajstán, en el libre ejercicio de sus funciones diplomáticas, y sin intervención indebida del Gobierno de México, envió la nota diplomática a la SRE con el propósito de que esta dependencia tuviera acceso a su contenido como destinataria. Si fuera cierta la premisa de que la nota diplomática mencionada es propiedad de los archivos y documentos de la misión diplomática de Kazajstán, al acceder al contenido de dicho documento la SRE estaría violando la Convención de Viena sobre Relaciones Diplomáticas, y el artículo 173. I y II, del Código Penal. Sin embargo, como destinataria de dicha correspondencia, la SRE tiene el derecho legítimo de abrirla, acceder a su contenido, e integrarla a sus propios archivos. Es decir, la nota diplomática solicitada, aún cuando haya sido emitida por la misión diplomática de Kazajstán, se convirtió en propiedad legítima de la SRE como destinataria.  Lo anterior se confirma con la tesis de la Suprema Corte de Justicia de la Nación, relativa al amparo directo 185/57, "En la violación de correspondencia el bien amparado por la norma es la seguridad a que todos los individuos tienen derecho, para que su correspondencia no sea abierta por personas distintas a los destinatarios". Es </w:t>
      </w:r>
      <w:r w:rsidRPr="009E280E">
        <w:rPr>
          <w:rFonts w:ascii="Montserrat" w:hAnsi="Montserrat"/>
          <w:i/>
          <w:sz w:val="20"/>
          <w:szCs w:val="20"/>
        </w:rPr>
        <w:lastRenderedPageBreak/>
        <w:t xml:space="preserve">decir, como destinataria, la SRE tiene el derecho de abrir la correspondencia que le envían las misiones diplomáticas. La SRE me ha proporcionado acceso a notas diplomáticas mediante las respuestas a las solicitudes 0000500107906, 0000500122006, 0000500058710, 0000500143407, 0000500189511, 0000500076813, 0000500059816, 0000500177618 y 0000500177718. De confirmarse la argumentación de la SRE, dicha dependencia habría violado la Convención de Viena sobre Relaciones Diplomáticas en </w:t>
      </w:r>
      <w:r w:rsidRPr="007378D5">
        <w:rPr>
          <w:rFonts w:ascii="Montserrat" w:hAnsi="Montserrat"/>
          <w:i/>
          <w:sz w:val="20"/>
          <w:szCs w:val="20"/>
        </w:rPr>
        <w:t>múltiples ocasiones.  Por lo anterior, pido que se me entregue la información solicitada</w:t>
      </w:r>
      <w:r w:rsidR="007B7A1D" w:rsidRPr="007378D5">
        <w:rPr>
          <w:rFonts w:ascii="Montserrat" w:hAnsi="Montserrat"/>
          <w:i/>
          <w:sz w:val="20"/>
          <w:szCs w:val="20"/>
        </w:rPr>
        <w:t>.</w:t>
      </w:r>
      <w:r w:rsidR="00DA04A4" w:rsidRPr="007378D5">
        <w:rPr>
          <w:rFonts w:ascii="Montserrat" w:hAnsi="Montserrat"/>
          <w:i/>
          <w:sz w:val="20"/>
          <w:szCs w:val="20"/>
        </w:rPr>
        <w:t>” (Sic)</w:t>
      </w:r>
    </w:p>
    <w:p w:rsidR="00DA04A4" w:rsidRPr="007378D5" w:rsidRDefault="00DA04A4" w:rsidP="00DA04A4">
      <w:pPr>
        <w:jc w:val="both"/>
        <w:rPr>
          <w:rFonts w:ascii="Montserrat" w:eastAsia="Calibri" w:hAnsi="Montserrat" w:cs="Arial"/>
          <w:bCs/>
        </w:rPr>
      </w:pPr>
    </w:p>
    <w:p w:rsidR="00757388" w:rsidRPr="007378D5" w:rsidRDefault="00757388" w:rsidP="00757388">
      <w:pPr>
        <w:pStyle w:val="Prrafodelista"/>
        <w:numPr>
          <w:ilvl w:val="0"/>
          <w:numId w:val="1"/>
        </w:numPr>
        <w:spacing w:after="120"/>
        <w:ind w:left="709"/>
        <w:jc w:val="both"/>
        <w:rPr>
          <w:rFonts w:ascii="Montserrat SemiBold" w:eastAsia="Calibri" w:hAnsi="Montserrat SemiBold" w:cs="Arial"/>
          <w:b/>
          <w:i/>
          <w:u w:val="single"/>
        </w:rPr>
      </w:pPr>
      <w:r w:rsidRPr="007378D5">
        <w:rPr>
          <w:rFonts w:ascii="Montserrat SemiBold" w:eastAsia="Calibri" w:hAnsi="Montserrat SemiBold" w:cs="Arial"/>
          <w:b/>
          <w:i/>
          <w:u w:val="single"/>
        </w:rPr>
        <w:t>TURNO DEL RECURSO DE REVISIÓN</w:t>
      </w:r>
    </w:p>
    <w:p w:rsidR="00757388" w:rsidRPr="007378D5" w:rsidRDefault="00757388" w:rsidP="00757388">
      <w:pPr>
        <w:jc w:val="both"/>
        <w:rPr>
          <w:rFonts w:ascii="Montserrat" w:eastAsia="Calibri" w:hAnsi="Montserrat" w:cs="Arial"/>
          <w:bCs/>
        </w:rPr>
      </w:pPr>
      <w:r w:rsidRPr="007378D5">
        <w:rPr>
          <w:rFonts w:ascii="Montserrat" w:eastAsia="Calibri" w:hAnsi="Montserrat" w:cs="Arial"/>
          <w:bCs/>
        </w:rPr>
        <w:t xml:space="preserve">La </w:t>
      </w:r>
      <w:r w:rsidRPr="007378D5">
        <w:rPr>
          <w:rFonts w:ascii="Montserrat" w:eastAsia="Calibri" w:hAnsi="Montserrat" w:cs="Arial"/>
          <w:b/>
          <w:bCs/>
        </w:rPr>
        <w:t>Unidad de Transparencia</w:t>
      </w:r>
      <w:r w:rsidRPr="007378D5">
        <w:rPr>
          <w:rFonts w:ascii="Montserrat" w:eastAsia="Calibri" w:hAnsi="Montserrat" w:cs="Arial"/>
          <w:bCs/>
        </w:rPr>
        <w:t xml:space="preserve"> turnó </w:t>
      </w:r>
      <w:r w:rsidR="00A63E7D" w:rsidRPr="007378D5">
        <w:rPr>
          <w:rFonts w:ascii="Montserrat" w:eastAsia="Calibri" w:hAnsi="Montserrat" w:cs="Arial"/>
          <w:bCs/>
        </w:rPr>
        <w:t>el</w:t>
      </w:r>
      <w:r w:rsidRPr="007378D5">
        <w:rPr>
          <w:rFonts w:ascii="Montserrat" w:eastAsia="Calibri" w:hAnsi="Montserrat" w:cs="Arial"/>
          <w:bCs/>
        </w:rPr>
        <w:t xml:space="preserve"> agravio expuesto en el recurso de revisión que nos ocupa a la </w:t>
      </w:r>
      <w:r w:rsidR="009E280E" w:rsidRPr="007378D5">
        <w:rPr>
          <w:rFonts w:ascii="Montserrat" w:eastAsia="Calibri" w:hAnsi="Montserrat" w:cs="Arial"/>
          <w:b/>
          <w:bCs/>
        </w:rPr>
        <w:t>SSRE</w:t>
      </w:r>
      <w:r w:rsidR="009E280E" w:rsidRPr="007378D5">
        <w:rPr>
          <w:rFonts w:ascii="Montserrat" w:eastAsia="Calibri" w:hAnsi="Montserrat" w:cs="Arial"/>
          <w:bCs/>
        </w:rPr>
        <w:t xml:space="preserve"> y a la </w:t>
      </w:r>
      <w:r w:rsidR="009E280E" w:rsidRPr="007378D5">
        <w:rPr>
          <w:rFonts w:ascii="Montserrat" w:eastAsia="Calibri" w:hAnsi="Montserrat" w:cs="Arial"/>
          <w:b/>
          <w:bCs/>
        </w:rPr>
        <w:t>DGAMO</w:t>
      </w:r>
      <w:r w:rsidRPr="007378D5">
        <w:rPr>
          <w:rFonts w:ascii="Montserrat" w:eastAsia="Calibri" w:hAnsi="Montserrat" w:cs="Arial"/>
          <w:bCs/>
        </w:rPr>
        <w:t>, para que en el ámbito de su competencia remitieran los ARGUMENTOS o ELEMENTOS de defensa que a su derecho convenían respecto del acto recurrido.</w:t>
      </w:r>
    </w:p>
    <w:p w:rsidR="00757388" w:rsidRPr="007378D5" w:rsidRDefault="00757388" w:rsidP="00DA04A4">
      <w:pPr>
        <w:jc w:val="both"/>
        <w:rPr>
          <w:rFonts w:ascii="Montserrat" w:eastAsia="Calibri" w:hAnsi="Montserrat" w:cs="Arial"/>
          <w:bCs/>
        </w:rPr>
      </w:pPr>
    </w:p>
    <w:p w:rsidR="00DA04A4" w:rsidRPr="008A603B" w:rsidRDefault="00C62285" w:rsidP="00DA04A4">
      <w:pPr>
        <w:pStyle w:val="Prrafodelista"/>
        <w:numPr>
          <w:ilvl w:val="0"/>
          <w:numId w:val="1"/>
        </w:numPr>
        <w:spacing w:after="120"/>
        <w:ind w:left="709"/>
        <w:jc w:val="both"/>
        <w:rPr>
          <w:rFonts w:ascii="Montserrat SemiBold" w:eastAsia="Calibri" w:hAnsi="Montserrat SemiBold" w:cs="Arial"/>
          <w:b/>
          <w:i/>
          <w:u w:val="single"/>
        </w:rPr>
      </w:pPr>
      <w:r w:rsidRPr="008A603B">
        <w:rPr>
          <w:rFonts w:ascii="Montserrat SemiBold" w:eastAsia="Calibri" w:hAnsi="Montserrat SemiBold" w:cs="Arial"/>
          <w:b/>
          <w:i/>
          <w:u w:val="single"/>
        </w:rPr>
        <w:t>RESPUESTA</w:t>
      </w:r>
      <w:r w:rsidR="008A603B" w:rsidRPr="008A603B">
        <w:rPr>
          <w:rFonts w:ascii="Montserrat SemiBold" w:eastAsia="Calibri" w:hAnsi="Montserrat SemiBold" w:cs="Arial"/>
          <w:b/>
          <w:i/>
          <w:u w:val="single"/>
        </w:rPr>
        <w:t>S</w:t>
      </w:r>
      <w:r w:rsidRPr="008A603B">
        <w:rPr>
          <w:rFonts w:ascii="Montserrat SemiBold" w:eastAsia="Calibri" w:hAnsi="Montserrat SemiBold" w:cs="Arial"/>
          <w:b/>
          <w:i/>
          <w:u w:val="single"/>
        </w:rPr>
        <w:t xml:space="preserve"> DE LA</w:t>
      </w:r>
      <w:r w:rsidR="008A603B" w:rsidRPr="008A603B">
        <w:rPr>
          <w:rFonts w:ascii="Montserrat SemiBold" w:eastAsia="Calibri" w:hAnsi="Montserrat SemiBold" w:cs="Arial"/>
          <w:b/>
          <w:i/>
          <w:u w:val="single"/>
        </w:rPr>
        <w:t>S</w:t>
      </w:r>
      <w:r w:rsidRPr="008A603B">
        <w:rPr>
          <w:rFonts w:ascii="Montserrat SemiBold" w:eastAsia="Calibri" w:hAnsi="Montserrat SemiBold" w:cs="Arial"/>
          <w:b/>
          <w:i/>
          <w:u w:val="single"/>
        </w:rPr>
        <w:t xml:space="preserve"> UNIDAD</w:t>
      </w:r>
      <w:r w:rsidR="008A603B" w:rsidRPr="008A603B">
        <w:rPr>
          <w:rFonts w:ascii="Montserrat SemiBold" w:eastAsia="Calibri" w:hAnsi="Montserrat SemiBold" w:cs="Arial"/>
          <w:b/>
          <w:i/>
          <w:u w:val="single"/>
        </w:rPr>
        <w:t>ES</w:t>
      </w:r>
      <w:r w:rsidRPr="008A603B">
        <w:rPr>
          <w:rFonts w:ascii="Montserrat SemiBold" w:eastAsia="Calibri" w:hAnsi="Montserrat SemiBold" w:cs="Arial"/>
          <w:b/>
          <w:i/>
          <w:u w:val="single"/>
        </w:rPr>
        <w:t xml:space="preserve"> ADMINISTRATIVA</w:t>
      </w:r>
      <w:r w:rsidR="008A603B" w:rsidRPr="008A603B">
        <w:rPr>
          <w:rFonts w:ascii="Montserrat SemiBold" w:eastAsia="Calibri" w:hAnsi="Montserrat SemiBold" w:cs="Arial"/>
          <w:b/>
          <w:i/>
          <w:u w:val="single"/>
        </w:rPr>
        <w:t>S</w:t>
      </w:r>
      <w:r w:rsidR="00DA04A4" w:rsidRPr="008A603B">
        <w:rPr>
          <w:rFonts w:ascii="Montserrat SemiBold" w:eastAsia="Calibri" w:hAnsi="Montserrat SemiBold" w:cs="Arial"/>
          <w:b/>
          <w:i/>
          <w:u w:val="single"/>
        </w:rPr>
        <w:t xml:space="preserve"> EN ALEGATOS</w:t>
      </w:r>
    </w:p>
    <w:p w:rsidR="00DA04A4" w:rsidRPr="008A603B" w:rsidRDefault="000A02B9" w:rsidP="00C228F3">
      <w:pPr>
        <w:jc w:val="both"/>
        <w:rPr>
          <w:rFonts w:ascii="Montserrat" w:eastAsia="Calibri" w:hAnsi="Montserrat" w:cs="Arial"/>
          <w:bCs/>
        </w:rPr>
      </w:pPr>
      <w:r w:rsidRPr="008A603B">
        <w:rPr>
          <w:rFonts w:ascii="Montserrat" w:eastAsia="Calibri" w:hAnsi="Montserrat" w:cs="Arial"/>
          <w:bCs/>
        </w:rPr>
        <w:t xml:space="preserve">En atención al recurso de revisión, con fecha </w:t>
      </w:r>
      <w:r w:rsidR="00C70EEB" w:rsidRPr="008A603B">
        <w:rPr>
          <w:rFonts w:ascii="Montserrat" w:eastAsia="Calibri" w:hAnsi="Montserrat" w:cs="Arial"/>
          <w:bCs/>
        </w:rPr>
        <w:t>2</w:t>
      </w:r>
      <w:r w:rsidR="009E280E" w:rsidRPr="008A603B">
        <w:rPr>
          <w:rFonts w:ascii="Montserrat" w:eastAsia="Calibri" w:hAnsi="Montserrat" w:cs="Arial"/>
          <w:bCs/>
        </w:rPr>
        <w:t>5</w:t>
      </w:r>
      <w:r w:rsidRPr="008A603B">
        <w:rPr>
          <w:rFonts w:ascii="Montserrat" w:eastAsia="Calibri" w:hAnsi="Montserrat" w:cs="Arial"/>
          <w:bCs/>
        </w:rPr>
        <w:t xml:space="preserve"> de </w:t>
      </w:r>
      <w:r w:rsidR="00C70EEB" w:rsidRPr="008A603B">
        <w:rPr>
          <w:rFonts w:ascii="Montserrat" w:eastAsia="Calibri" w:hAnsi="Montserrat" w:cs="Arial"/>
          <w:bCs/>
        </w:rPr>
        <w:t>febrero</w:t>
      </w:r>
      <w:r w:rsidRPr="008A603B">
        <w:rPr>
          <w:rFonts w:ascii="Montserrat" w:eastAsia="Calibri" w:hAnsi="Montserrat" w:cs="Arial"/>
          <w:bCs/>
        </w:rPr>
        <w:t xml:space="preserve"> de 201</w:t>
      </w:r>
      <w:r w:rsidR="007B7A1D" w:rsidRPr="008A603B">
        <w:rPr>
          <w:rFonts w:ascii="Montserrat" w:eastAsia="Calibri" w:hAnsi="Montserrat" w:cs="Arial"/>
          <w:bCs/>
        </w:rPr>
        <w:t>9</w:t>
      </w:r>
      <w:r w:rsidRPr="008A603B">
        <w:rPr>
          <w:rFonts w:ascii="Montserrat" w:eastAsia="Calibri" w:hAnsi="Montserrat" w:cs="Arial"/>
          <w:bCs/>
        </w:rPr>
        <w:t xml:space="preserve"> a t</w:t>
      </w:r>
      <w:r w:rsidR="007B7A1D" w:rsidRPr="008A603B">
        <w:rPr>
          <w:rFonts w:ascii="Montserrat" w:eastAsia="Calibri" w:hAnsi="Montserrat" w:cs="Arial"/>
          <w:bCs/>
        </w:rPr>
        <w:t>ravés de correo electrónico</w:t>
      </w:r>
      <w:r w:rsidR="009E280E" w:rsidRPr="008A603B">
        <w:rPr>
          <w:rFonts w:ascii="Montserrat" w:eastAsia="Calibri" w:hAnsi="Montserrat" w:cs="Arial"/>
          <w:bCs/>
        </w:rPr>
        <w:t xml:space="preserve"> NO. AMO00152,</w:t>
      </w:r>
      <w:r w:rsidR="007B7A1D" w:rsidRPr="008A603B">
        <w:rPr>
          <w:rFonts w:ascii="Montserrat" w:eastAsia="Calibri" w:hAnsi="Montserrat" w:cs="Arial"/>
          <w:bCs/>
        </w:rPr>
        <w:t xml:space="preserve"> la </w:t>
      </w:r>
      <w:r w:rsidR="007B7A1D" w:rsidRPr="008A603B">
        <w:rPr>
          <w:rFonts w:ascii="Montserrat" w:eastAsia="Calibri" w:hAnsi="Montserrat" w:cs="Arial"/>
          <w:b/>
          <w:bCs/>
        </w:rPr>
        <w:t>DGA</w:t>
      </w:r>
      <w:r w:rsidR="009E280E" w:rsidRPr="008A603B">
        <w:rPr>
          <w:rFonts w:ascii="Montserrat" w:eastAsia="Calibri" w:hAnsi="Montserrat" w:cs="Arial"/>
          <w:b/>
          <w:bCs/>
        </w:rPr>
        <w:t>MO</w:t>
      </w:r>
      <w:r w:rsidRPr="008A603B">
        <w:rPr>
          <w:rFonts w:ascii="Montserrat" w:eastAsia="Calibri" w:hAnsi="Montserrat" w:cs="Arial"/>
          <w:b/>
          <w:bCs/>
        </w:rPr>
        <w:t xml:space="preserve"> </w:t>
      </w:r>
      <w:r w:rsidRPr="008A603B">
        <w:rPr>
          <w:rFonts w:ascii="Montserrat" w:eastAsia="Calibri" w:hAnsi="Montserrat" w:cs="Arial"/>
          <w:bCs/>
        </w:rPr>
        <w:t>manifestó lo siguiente:</w:t>
      </w:r>
    </w:p>
    <w:p w:rsidR="000A02B9" w:rsidRPr="008A603B" w:rsidRDefault="000A02B9" w:rsidP="00C228F3">
      <w:pPr>
        <w:jc w:val="both"/>
        <w:rPr>
          <w:rFonts w:ascii="Montserrat" w:eastAsia="Calibri" w:hAnsi="Montserrat" w:cs="Arial"/>
          <w:bCs/>
        </w:rPr>
      </w:pPr>
    </w:p>
    <w:p w:rsidR="009E280E" w:rsidRPr="008A603B" w:rsidRDefault="00546959" w:rsidP="009E280E">
      <w:pPr>
        <w:spacing w:after="120"/>
        <w:ind w:left="567" w:right="284"/>
        <w:jc w:val="both"/>
        <w:rPr>
          <w:rFonts w:ascii="Montserrat" w:hAnsi="Montserrat"/>
          <w:i/>
          <w:sz w:val="20"/>
          <w:szCs w:val="20"/>
        </w:rPr>
      </w:pPr>
      <w:r w:rsidRPr="008A603B">
        <w:rPr>
          <w:rFonts w:ascii="Montserrat" w:hAnsi="Montserrat"/>
          <w:i/>
          <w:sz w:val="20"/>
          <w:szCs w:val="20"/>
          <w:lang w:val="es-ES"/>
        </w:rPr>
        <w:t>“</w:t>
      </w:r>
      <w:r w:rsidR="009E280E" w:rsidRPr="008A603B">
        <w:rPr>
          <w:rFonts w:ascii="Montserrat" w:hAnsi="Montserrat"/>
          <w:i/>
          <w:sz w:val="20"/>
          <w:szCs w:val="20"/>
        </w:rPr>
        <w:t xml:space="preserve">Al respecto, se transmiten los siguientes puntos relacionados con A) los argumentos presentados por el solicitante para interponer el recurso de revisión y B) los fundamentos para mantener la reserva por cinco años de la información solicitada. </w:t>
      </w:r>
    </w:p>
    <w:p w:rsidR="009E280E" w:rsidRPr="009E280E" w:rsidRDefault="009E280E" w:rsidP="008A603B">
      <w:pPr>
        <w:numPr>
          <w:ilvl w:val="0"/>
          <w:numId w:val="23"/>
        </w:numPr>
        <w:spacing w:after="120"/>
        <w:ind w:left="1276" w:right="284"/>
        <w:jc w:val="both"/>
        <w:rPr>
          <w:rFonts w:ascii="Montserrat" w:hAnsi="Montserrat"/>
          <w:b/>
          <w:bCs/>
          <w:i/>
          <w:sz w:val="20"/>
          <w:szCs w:val="20"/>
        </w:rPr>
      </w:pPr>
      <w:r w:rsidRPr="008A603B">
        <w:rPr>
          <w:rFonts w:ascii="Montserrat" w:hAnsi="Montserrat"/>
          <w:b/>
          <w:bCs/>
          <w:i/>
          <w:sz w:val="20"/>
          <w:szCs w:val="20"/>
        </w:rPr>
        <w:t>Argumentos presentados</w:t>
      </w:r>
      <w:r w:rsidRPr="009E280E">
        <w:rPr>
          <w:rFonts w:ascii="Montserrat" w:hAnsi="Montserrat"/>
          <w:b/>
          <w:bCs/>
          <w:i/>
          <w:sz w:val="20"/>
          <w:szCs w:val="20"/>
        </w:rPr>
        <w:t xml:space="preserve"> por el solicitante para interponer el recurso de revisión</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sz w:val="20"/>
          <w:szCs w:val="20"/>
        </w:rPr>
        <w:t xml:space="preserve">1.- El requirente señala que: “… </w:t>
      </w:r>
      <w:r w:rsidRPr="009E280E">
        <w:rPr>
          <w:rFonts w:ascii="Montserrat" w:hAnsi="Montserrat"/>
          <w:i/>
          <w:iCs/>
          <w:sz w:val="20"/>
          <w:szCs w:val="20"/>
        </w:rPr>
        <w:t xml:space="preserve">la nota diplomática solicitada, aún cuando haya sido emitida por la misión diplomática de Kazajstán, se convirtió en propiedad legítima de la SRE como destinataria.  Lo anterior se confirma con la tesis de la Suprema Corte de Justicia de la Nación, relativa al amparo directo 185/57, "En la violación de correspondencia el bien amparado </w:t>
      </w:r>
      <w:r w:rsidRPr="009E280E">
        <w:rPr>
          <w:rFonts w:ascii="Montserrat" w:hAnsi="Montserrat"/>
          <w:i/>
          <w:iCs/>
          <w:sz w:val="20"/>
          <w:szCs w:val="20"/>
        </w:rPr>
        <w:lastRenderedPageBreak/>
        <w:t>por la norma es la seguridad a que todos los individuos tienen derecho, para que su correspondencia no sea abierta por personas distintas a los destinatarios". Es decir, como destinataria, la SRE tiene el derecho de abrir la correspondencia que le envían las misiones diplomáticas.”</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Sobre el particular, el solicitante afirma que la nota diplomática… </w:t>
      </w:r>
      <w:r w:rsidRPr="009E280E">
        <w:rPr>
          <w:rFonts w:ascii="Montserrat" w:hAnsi="Montserrat"/>
          <w:i/>
          <w:iCs/>
          <w:sz w:val="20"/>
          <w:szCs w:val="20"/>
        </w:rPr>
        <w:t>“se convirtió en propiedad legítima de la SRE como destinataria”</w:t>
      </w:r>
      <w:r w:rsidRPr="009E280E">
        <w:rPr>
          <w:rFonts w:ascii="Montserrat" w:hAnsi="Montserrat"/>
          <w:i/>
          <w:sz w:val="20"/>
          <w:szCs w:val="20"/>
        </w:rPr>
        <w:t>. Al respecto, se subraya que el intercambio de notas diplomáticas y otra documentación oficial es una de las expresiones que, en la práctica diplomática, adquieren las disposiciones contempladas en el Art. 41. 2 de la Convención de Viena sobre Relaciones Diplomáticas  (CVRD) del 18 de abril de 1961, que a la letra indica:</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Artículo 41</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2. Todos los asuntos oficiales de que la misión esté encargada por el Estado acreditante han de ser tratados con el Ministerio de Relaciones Exteriores del Estado receptor por conducto de él, o con el Ministerio que se haya convenido.</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En este punto, cabe recordar que la Convención de Viena sobre Relaciones Diplomáticas (CVRD) del 18 de abril de 1961, constituye Ley Suprema de la Unión, junto con la Constitución, las leyes del Congreso de la Unión y demás tratados que estén de acuerdo con la misma, de conformidad con el Artículo 133 de la Constitución Política de los Estados Unidos Mexicanos.</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Al respecto, una nota diplomática es una comunicación entre dos sujetos de Derecho Internacional, sobre la cual la CVRD no especifica la transmisión de posesión y/o propiedad del Estado emisor al Estado receptor, con el cual la información se remite para su debido resguardo y para la gestión de las tareas diplomáticas encomendadas por el respectivo gobierno a la misión diplomática u oficina emisora, con auxilio de las autoridades del Estado receptor.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No obstante, la CVRD sí estipula en su Artículo 24:  “Los archivos y documentos de la misión son siempre inviolables, </w:t>
      </w:r>
      <w:r w:rsidRPr="009E280E">
        <w:rPr>
          <w:rFonts w:ascii="Montserrat" w:hAnsi="Montserrat"/>
          <w:i/>
          <w:sz w:val="20"/>
          <w:szCs w:val="20"/>
          <w:u w:val="single"/>
        </w:rPr>
        <w:t>dondequiera que se hallen</w:t>
      </w:r>
      <w:r w:rsidRPr="009E280E">
        <w:rPr>
          <w:rFonts w:ascii="Montserrat" w:hAnsi="Montserrat"/>
          <w:i/>
          <w:sz w:val="20"/>
          <w:szCs w:val="20"/>
        </w:rPr>
        <w:t xml:space="preserve">”,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lastRenderedPageBreak/>
        <w:t xml:space="preserve">Lo anterior, implica la posesión o propiedad de los archivos y documentos de la misión, y su carácter inviolable, inclusive si los archivos y documento se encuentran fuera de las instalaciones de la representación diplomática.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Por lo anterior, el resguardo de una nota diplomática (o de cualquier otro documento u objeto) no es equivalente a la posesión o propiedad de esa nota diplomática (o de cualquier otro documento u objeto).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Es decir, la práctica diplomática dispone que las notas diplomáticas son compartidas libremente, sin coerción ni obligación y con la presunción de confidencialidad y sigilo en el resguardo del documento y para la gestión de asuntos oficiales, sin que ello implique un traspaso o transferencia de la propiedad de archivos o documentos al destinatario. </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sz w:val="20"/>
          <w:szCs w:val="20"/>
        </w:rPr>
        <w:t>2.- El requirente señala que: “…</w:t>
      </w:r>
      <w:r w:rsidRPr="009E280E">
        <w:rPr>
          <w:rFonts w:ascii="Montserrat" w:hAnsi="Montserrat"/>
          <w:i/>
          <w:iCs/>
          <w:sz w:val="20"/>
          <w:szCs w:val="20"/>
        </w:rPr>
        <w:t>Si fuera cierta la premisa de que la nota diplomática mencionada es propiedad de los archivos y documentos de la misión diplomática de Kazajstán, al acceder al contenido de dicho documento la SRE estaría violando la Convención de Viena sobre Relaciones Diplomáticas, y el artículo 173. I y II, del Código Penal. Sin embargo, como destinataria de dicha correspondencia, la SRE tiene el derecho legítimo de abrirla, acceder a su contenido, e integrarla a sus propios archivos…”</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Al respecto, la Suprema Corte de Justicia de la Nación se pronunció sobre el “Derecho a la inviolabilidad de las comunicaciones privadas. Sus diferencias con el derecho a la intimidad”, en su consideración del Amparo Directo en revisión 1621/2010 del 15 de junio de 2011, </w:t>
      </w:r>
      <w:r w:rsidR="00A24ABC">
        <w:rPr>
          <w:rFonts w:ascii="Montserrat" w:hAnsi="Montserrat"/>
          <w:i/>
          <w:sz w:val="20"/>
          <w:szCs w:val="20"/>
        </w:rPr>
        <w:t>q</w:t>
      </w:r>
      <w:r w:rsidRPr="009E280E">
        <w:rPr>
          <w:rFonts w:ascii="Montserrat" w:hAnsi="Montserrat"/>
          <w:i/>
          <w:sz w:val="20"/>
          <w:szCs w:val="20"/>
        </w:rPr>
        <w:t xml:space="preserve">ue a la letra indica: </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 xml:space="preserve">“…lo que se encuentra prohibido por el artículo 16 de la Constitución Política de los Estados Unidos Mexicanos, en su párrafo decimosegundo, es la intercepción o el conocimiento antijurídico de una comunicación ajena. La violación de este derecho se consuma en el momento en que se escucha, se graba, se almacena, se lee o se registra -sin el consentimiento de los interlocutores o sin autorización judicial-, una comunicación ajena, con independencia de que, con posterioridad, se difunda el contenido de la conversación interceptada”.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lastRenderedPageBreak/>
        <w:t xml:space="preserve">En ese sentido, la práctica diplomática dispone que las notas diplomáticas son compartidas libremente, sin coerción ni obligación y con la presunción de confidencialidad y sigilo en el resguardo de esos documentos, para la gestión de asuntos oficiales entre Estados y sujetos de Derecho Internacional. </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sz w:val="20"/>
          <w:szCs w:val="20"/>
        </w:rPr>
        <w:t>Por lo tanto, no subsiste la premisa presentada por el solicitante en el sentido de que el acceso al contenido de un documento compartido libremente (en este caso por la Embajada de Kazajstán en México a la Dirección General para África y Medio Oriente de la Secretaría de Relaciones Exteriores), sería violatorio de la “</w:t>
      </w:r>
      <w:r w:rsidRPr="009E280E">
        <w:rPr>
          <w:rFonts w:ascii="Montserrat" w:hAnsi="Montserrat"/>
          <w:i/>
          <w:iCs/>
          <w:sz w:val="20"/>
          <w:szCs w:val="20"/>
        </w:rPr>
        <w:t xml:space="preserve">Convención de Viena sobre Relaciones Diplomáticas, y el artículo 173. I y II, del Código Penal”, </w:t>
      </w:r>
      <w:r w:rsidRPr="009E280E">
        <w:rPr>
          <w:rFonts w:ascii="Montserrat" w:hAnsi="Montserrat"/>
          <w:i/>
          <w:sz w:val="20"/>
          <w:szCs w:val="20"/>
        </w:rPr>
        <w:t>al no existir los presupuestos señalados de</w:t>
      </w:r>
      <w:r w:rsidRPr="009E280E">
        <w:rPr>
          <w:rFonts w:ascii="Montserrat" w:hAnsi="Montserrat"/>
          <w:i/>
          <w:iCs/>
          <w:sz w:val="20"/>
          <w:szCs w:val="20"/>
        </w:rPr>
        <w:t xml:space="preserve"> “intercepción o el conocimiento antijurídico de una comunicación ajena”.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Lo apenas expuesto, en el entendido de que la Dirección General para África y Medio Oriente, al considerar la información compartida voluntariamente por la Embajada de Kazajstán en México no contravino el derecho a la inviolabilidad de las comunicaciones privadas puesto que consideró el contenido de la nota diplomática en comento con el consentimiento de la entidad emisora (Embajada de Kazajstán en México), sin que mediase en ello </w:t>
      </w:r>
      <w:r w:rsidRPr="009E280E">
        <w:rPr>
          <w:rFonts w:ascii="Montserrat" w:hAnsi="Montserrat"/>
          <w:i/>
          <w:iCs/>
          <w:sz w:val="20"/>
          <w:szCs w:val="20"/>
        </w:rPr>
        <w:t xml:space="preserve">“intercepción o el conocimiento antijurídico de una comunicación ajena”.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En resumen, el intercambio de notas diplomáticas entre Estados y otros sujetos de Derecho Internacional es un uso consagrado en la práctica diplomática internacional con la intención de: a) compartir información  - la cual se espera sea tratada con confidencialidad y sigilo –, b) inicio/continuación/conclusión de gestiones y 3) resguardo del documento por lo que no constituye </w:t>
      </w:r>
      <w:r w:rsidRPr="009E280E">
        <w:rPr>
          <w:rFonts w:ascii="Montserrat" w:hAnsi="Montserrat"/>
          <w:i/>
          <w:iCs/>
          <w:sz w:val="20"/>
          <w:szCs w:val="20"/>
        </w:rPr>
        <w:t>per se</w:t>
      </w:r>
      <w:r w:rsidRPr="009E280E">
        <w:rPr>
          <w:rFonts w:ascii="Montserrat" w:hAnsi="Montserrat"/>
          <w:i/>
          <w:sz w:val="20"/>
          <w:szCs w:val="20"/>
        </w:rPr>
        <w:t xml:space="preserve"> un falta al principio de inviolabilidad (al realizarse con consentimiento del Estado emisor) ni tampoco implica el traspaso en la posesión del documento a una autoridad diferente de la emisora.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La Dirección General para África y Medio Oriente resguarda, por lo tanto, la nota diplomática </w:t>
      </w:r>
      <w:r w:rsidRPr="009E280E">
        <w:rPr>
          <w:rFonts w:ascii="Montserrat" w:hAnsi="Montserrat"/>
          <w:i/>
          <w:sz w:val="20"/>
          <w:szCs w:val="20"/>
          <w:u w:val="single"/>
        </w:rPr>
        <w:t>de la Embajada de Kazajstán en México</w:t>
      </w:r>
      <w:r w:rsidRPr="009E280E">
        <w:rPr>
          <w:rFonts w:ascii="Montserrat" w:hAnsi="Montserrat"/>
          <w:i/>
          <w:sz w:val="20"/>
          <w:szCs w:val="20"/>
        </w:rPr>
        <w:t xml:space="preserve">, la cual fue compartida libremente por la autoridad emisora sin mediar en ello </w:t>
      </w:r>
      <w:r w:rsidRPr="009E280E">
        <w:rPr>
          <w:rFonts w:ascii="Montserrat" w:hAnsi="Montserrat"/>
          <w:i/>
          <w:iCs/>
          <w:sz w:val="20"/>
          <w:szCs w:val="20"/>
        </w:rPr>
        <w:t xml:space="preserve">“intercepción o el conocimiento antijurídico de una comunicación ajena”. </w:t>
      </w:r>
    </w:p>
    <w:p w:rsidR="009E280E" w:rsidRPr="009E280E" w:rsidRDefault="009E280E" w:rsidP="008A603B">
      <w:pPr>
        <w:numPr>
          <w:ilvl w:val="0"/>
          <w:numId w:val="23"/>
        </w:numPr>
        <w:spacing w:after="120"/>
        <w:ind w:left="1276" w:right="284"/>
        <w:jc w:val="both"/>
        <w:rPr>
          <w:rFonts w:ascii="Montserrat" w:hAnsi="Montserrat"/>
          <w:b/>
          <w:bCs/>
          <w:i/>
          <w:sz w:val="20"/>
          <w:szCs w:val="20"/>
        </w:rPr>
      </w:pPr>
      <w:r w:rsidRPr="009E280E">
        <w:rPr>
          <w:rFonts w:ascii="Montserrat" w:hAnsi="Montserrat"/>
          <w:b/>
          <w:bCs/>
          <w:i/>
          <w:sz w:val="20"/>
          <w:szCs w:val="20"/>
        </w:rPr>
        <w:lastRenderedPageBreak/>
        <w:t>Fundamentos para mantener la reserva por cinco años de la información solicitada</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Con base en las disposiciones vigentes de la “Ley Federal de Transparencia y Acceso a la Información Pública (LFTAIP)” del 21 de abril de 2016, la Dirección General para África y Medio Oriente se permite solicitar la confirmación de la reserva de la copia de la Nota Verbal (nota diplomática) 30-28/43 y sus anexos, expedidos por la Embajada de Kazajstán en México con fecha 18 de marzo de 2017, por un período de cinco años de conformidad con lo dispuesto en las fracciones II, III y XIII de la LFTAIP, así como con base en las siguientes consideraciones:</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b/>
          <w:bCs/>
          <w:i/>
          <w:sz w:val="20"/>
          <w:szCs w:val="20"/>
        </w:rPr>
        <w:t>1.- La divulgación de la información que se reserva representa un riesgo real, demostrable e identificable al interés del gobierno de México.</w:t>
      </w:r>
      <w:r w:rsidRPr="009E280E">
        <w:rPr>
          <w:rFonts w:ascii="Montserrat" w:hAnsi="Montserrat"/>
          <w:i/>
          <w:sz w:val="20"/>
          <w:szCs w:val="20"/>
        </w:rPr>
        <w:t xml:space="preserve"> La información que se reserva consiste en la Nota Diplomática 30-28/43 y su anexo emitidos el 18 de marzo de 2017 por la Embajada de Kazajstán en México dirigida a la Dirección General para África y Medio Oriente. El contenido de la Nota Diplomática en cuestión hace referencia a información sobre la Exposición Internacional Astaná 2017 y la participación de México en el evento.</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Las notas diplomáticas son entregadas bajo la presunción de confidencialidad. Cuando un gobierno o sujeto de derecho internacional entrega una nota diplomática a otro, se asume que el gobierno que emite la nota tiene una expectativa de confidencialidad; esto es, que la información contenida en sus notas o las notas mismas no serán divulgadas por el gobierno receptor a ningún tercero. La nota señalada forma parte de la comunicación entre los gobiernos de ambos países, la cual se considera inviolable. El Gobierno de México faltaría a su obligación internacional de no entregar ni revelar el contenido de una nota diplomática que forma parte de la comunicación confidencial entre los Estados, si la entregase a un tercero.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Así, la entrega de la nota supone un riesgo real, demostrable e identificable que podría provocar distorsiones en el diálogo político bilateral que México mantiene con la República de Kazajstán,  dañar la relación entre México y la República de Kazajstán y repercutir en el desarrollo y/o negociación de cualquier otra materia de interés entre ambos países.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lastRenderedPageBreak/>
        <w:t>Debe mencionarse que las notas diplomáticas son el medio de comunicación por excelencia para los intercambios bilaterales entre las embajadas acreditadas en un país y el Estado receptor. De esta manera, para garantizar la protección de dichas comunicaciones, la práctica internacional ha revestido a las notas diplomáticas de confidencialidad para que los asuntos oficiales de una Embajada puedan tratarse con sigilo, tacto y discreción que merecen por parte de los ministerios de relaciones exteriores. La importancia que la práctica internacional confiere a la confidencialidad de las notas diplomáticas se ve reflejada en la propia CVRD – de la cual México y Kazajstán son partes – , en relación con los archivos y otros documentos de una Embajada en los Arts. 24 y Art. 27, párrafo 2 de ese instrumento internacional, los cuales rezan:</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Artículo 24</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Los archivos y documentos de la misión son siempre inviolables, dondequiera que se hallen.</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Artículo 27</w:t>
      </w:r>
    </w:p>
    <w:p w:rsidR="009E280E" w:rsidRPr="009E280E" w:rsidRDefault="009E280E" w:rsidP="009E280E">
      <w:pPr>
        <w:spacing w:after="120"/>
        <w:ind w:left="567" w:right="284"/>
        <w:jc w:val="both"/>
        <w:rPr>
          <w:rFonts w:ascii="Montserrat" w:hAnsi="Montserrat"/>
          <w:i/>
          <w:iCs/>
          <w:sz w:val="20"/>
          <w:szCs w:val="20"/>
        </w:rPr>
      </w:pPr>
      <w:r w:rsidRPr="009E280E">
        <w:rPr>
          <w:rFonts w:ascii="Montserrat" w:hAnsi="Montserrat"/>
          <w:i/>
          <w:iCs/>
          <w:sz w:val="20"/>
          <w:szCs w:val="20"/>
        </w:rPr>
        <w:t>2. La correspondencia oficial de la misión es inviolable. Por correspondencia oficial se entiende toda correspondencia concerniente a la misión y a sus funciones.</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En suma, el hecho de que la Dirección General para África y Medio Oriente entregue la nota en cuestión, supone un riesgo real, demostrable e identificable de vulnerar la regla vigente de la práctica internacional de no entregar notas diplomáticas a terceros, sin la autorización expresa del gobierno que la emitió. De hecho, se correría el riesgo de que las notas remitidas por las embajadas de México no se traten con las expectativas de confidencialidad con las que se entregan a las autoridades de otros países, quebrantándose así el entendimiento generalizado entre la comunidad internacional respecto al tratamiento y entrega de las comunicaciones entre Estados soberanos.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Por último, es importante resaltar que la República de Kazajstán cuenta con mecanismos de acceso a la información gubernamental a través de la “Ley de la República de Kazajstán sobre Acceso a la Información” (Ley No. 401-V del 16 de noviembre de 2015). En ese sentido, nada impide que </w:t>
      </w:r>
      <w:r w:rsidRPr="009E280E">
        <w:rPr>
          <w:rFonts w:ascii="Montserrat" w:hAnsi="Montserrat"/>
          <w:i/>
          <w:sz w:val="20"/>
          <w:szCs w:val="20"/>
        </w:rPr>
        <w:lastRenderedPageBreak/>
        <w:t xml:space="preserve">los peticionarios soliciten la nota diplomática producida por el Gobierno de Kazajstán a través de los canales conducentes, requisitos y modalidades que dispongan las autoridades kazajas.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b/>
          <w:bCs/>
          <w:i/>
          <w:sz w:val="20"/>
          <w:szCs w:val="20"/>
        </w:rPr>
        <w:t>II.- Riesgo de perjuicio a las relaciones internacionales que supondría la divulgación supera el interés público general de que se difunda</w:t>
      </w:r>
      <w:r w:rsidRPr="009E280E">
        <w:rPr>
          <w:rFonts w:ascii="Montserrat" w:hAnsi="Montserrat"/>
          <w:i/>
          <w:sz w:val="20"/>
          <w:szCs w:val="20"/>
        </w:rPr>
        <w:t xml:space="preserve">.- La divulgación de notas diplomáticas podría entorpecer seriamente y dificultar las funciones que, por ley, esta Secretaría tiene conferidas a fin de lograr los objetivos de política exterior del Estado mexicano, debido al daño que podría causar a las relaciones y al diálogo bilateral que tiene lugar actualmente con la República de Kazajstán en diversas áreas de interés mutuo. Si se entregara la nota en cuestión, se dañaría el principio consuetudinario de confianza con los interlocutores, principio que es base indispensable para comunicar con eficacia y credibilidad los mensajes, propuestas y proyectos con la República de Kazajstán.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De esta manera, el riesgo de perjuicio reflejado en la posible pérdida de confianza entre autoridades de dos Estados, supera el interés público general de que se difunda la nota diplomática en comento.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Asimismo, en el caso de que se difunda la nota diplomática en cuestión, el riesgo de perjuicio superaría el interés público general, toda vez que se rompería de forma unilateral con la práctica internacional de no entregar notas diplomáticas que formen parte de la comunicación oficial y que tienen una expectativa de tratamiento bajo condiciones de confidencialidad.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b/>
          <w:bCs/>
          <w:i/>
          <w:sz w:val="20"/>
          <w:szCs w:val="20"/>
        </w:rPr>
        <w:t>III. La limitación se adecúa al principio de proporcionalidad y representa el medio menos restrictivo para evitar el perjuicio.-</w:t>
      </w:r>
      <w:r w:rsidRPr="009E280E">
        <w:rPr>
          <w:rFonts w:ascii="Montserrat" w:hAnsi="Montserrat"/>
          <w:i/>
          <w:sz w:val="20"/>
          <w:szCs w:val="20"/>
        </w:rPr>
        <w:t xml:space="preserve"> La limitación del derecho de los requirentes de información a conocer la nota diplomática que se reserva es proporcional. El derecho a buscar y recibir información, si bien es un derecho fundamental, puede ser limitado siempre y cuando: 1) el fin sea constitucionalmente válido (fin legítimo); 2) la medida sea idónea para alcanzar el fin constitucionalmente válido; 3) no exista un medio menos lesivo y 4) la limitación sea proporcional en sentido estricto (véase tesis 1ª. CCLVX/2016 (10ª.), 1ª. CCLXVIII/2016 (10ª), 1ª. CCLXX/2016 (10ª.) y 1ª. CCLXXII/2016 (10ª.) de noviembre de 2016, derivadas del Amparo en Revisión 237/2014, 4 de noviembre de 2015). </w:t>
      </w:r>
    </w:p>
    <w:p w:rsidR="009E280E" w:rsidRPr="009E280E" w:rsidRDefault="009E280E" w:rsidP="008A603B">
      <w:pPr>
        <w:numPr>
          <w:ilvl w:val="0"/>
          <w:numId w:val="24"/>
        </w:numPr>
        <w:spacing w:after="120"/>
        <w:ind w:left="993" w:right="284"/>
        <w:jc w:val="both"/>
        <w:rPr>
          <w:rFonts w:ascii="Montserrat" w:hAnsi="Montserrat"/>
          <w:i/>
          <w:sz w:val="20"/>
          <w:szCs w:val="20"/>
        </w:rPr>
      </w:pPr>
      <w:r w:rsidRPr="009E280E">
        <w:rPr>
          <w:rFonts w:ascii="Montserrat" w:hAnsi="Montserrat"/>
          <w:b/>
          <w:bCs/>
          <w:i/>
          <w:sz w:val="20"/>
          <w:szCs w:val="20"/>
        </w:rPr>
        <w:lastRenderedPageBreak/>
        <w:t>Fin legítimo.-</w:t>
      </w:r>
      <w:r w:rsidRPr="009E280E">
        <w:rPr>
          <w:rFonts w:ascii="Montserrat" w:hAnsi="Montserrat"/>
          <w:i/>
          <w:sz w:val="20"/>
          <w:szCs w:val="20"/>
        </w:rPr>
        <w:t xml:space="preserve"> El mantenimiento del diálogo en materia política, económica y de cooperación, así como en otros asuntos de interés común, libre de interferencias que lo pongan en riesgo o vulneren la puesta en marcha de proyectos o propuestas de carácter bilateral entre México y Kazajstán es un fin legítimo y constitucionalmente válido. </w:t>
      </w:r>
    </w:p>
    <w:p w:rsidR="009E280E" w:rsidRPr="009E280E" w:rsidRDefault="009E280E" w:rsidP="008A603B">
      <w:pPr>
        <w:numPr>
          <w:ilvl w:val="0"/>
          <w:numId w:val="24"/>
        </w:numPr>
        <w:spacing w:after="120"/>
        <w:ind w:left="993" w:right="284"/>
        <w:jc w:val="both"/>
        <w:rPr>
          <w:rFonts w:ascii="Montserrat" w:hAnsi="Montserrat"/>
          <w:i/>
          <w:sz w:val="20"/>
          <w:szCs w:val="20"/>
        </w:rPr>
      </w:pPr>
      <w:r w:rsidRPr="009E280E">
        <w:rPr>
          <w:rFonts w:ascii="Montserrat" w:hAnsi="Montserrat"/>
          <w:b/>
          <w:bCs/>
          <w:i/>
          <w:sz w:val="20"/>
          <w:szCs w:val="20"/>
        </w:rPr>
        <w:t>Idoneidad de la medida.-</w:t>
      </w:r>
      <w:r w:rsidRPr="009E280E">
        <w:rPr>
          <w:rFonts w:ascii="Montserrat" w:hAnsi="Montserrat"/>
          <w:i/>
          <w:sz w:val="20"/>
          <w:szCs w:val="20"/>
        </w:rPr>
        <w:t xml:space="preserve"> La medida tomada consiste en la reserva de la nota diplomática solicitada (entendida como la comunicación entre dos Estados) por un tiempo determinado, consistente con la instrumentación del Artículo 110, fraccciones II y III de la LFTAIPG en vigor, en especial en lo relativo al hecho de que (fracción III) “se menoscaban las relaciones internacionales cuando se difunda información entregada al Estado Mexicano con carácter de confidencial por otros estados, organismos internacionales o cualquier otro sujeto de derecho internacional”.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En el presente caso y por las razones señaladas, la reserva resulta idónea para evitar un perjuicio en el fin constitucionalmente válido que persigue el Gobierno de México, como lo es, en este asunto, el buen desarrollo del diálogo y la puesta en marcha de acciones conjuntas entre los gobiernos de México y Kazajstán, con condiciones de confiabilidad y confidencialidad.  Por lo anterior, la reserva es idónea para no poner en riesgo la expectativa de confidencialidad que se espera del Gobierno de México al recibir comunicaciones que, conforme a la práctica internacional, se le entregan con carácter “confidencial” por otro gobierno o sujeto de derecho internacional. </w:t>
      </w:r>
    </w:p>
    <w:p w:rsidR="009E280E" w:rsidRPr="009E280E" w:rsidRDefault="009E280E" w:rsidP="008A603B">
      <w:pPr>
        <w:numPr>
          <w:ilvl w:val="0"/>
          <w:numId w:val="24"/>
        </w:numPr>
        <w:spacing w:after="120"/>
        <w:ind w:left="993" w:right="284"/>
        <w:jc w:val="both"/>
        <w:rPr>
          <w:rFonts w:ascii="Montserrat" w:hAnsi="Montserrat"/>
          <w:i/>
          <w:sz w:val="20"/>
          <w:szCs w:val="20"/>
        </w:rPr>
      </w:pPr>
      <w:r w:rsidRPr="009E280E">
        <w:rPr>
          <w:rFonts w:ascii="Montserrat" w:hAnsi="Montserrat"/>
          <w:b/>
          <w:bCs/>
          <w:i/>
          <w:sz w:val="20"/>
          <w:szCs w:val="20"/>
        </w:rPr>
        <w:t>Existencia de un medio menos lesivo</w:t>
      </w:r>
      <w:r w:rsidRPr="009E280E">
        <w:rPr>
          <w:rFonts w:ascii="Montserrat" w:hAnsi="Montserrat"/>
          <w:i/>
          <w:sz w:val="20"/>
          <w:szCs w:val="20"/>
        </w:rPr>
        <w:t xml:space="preserve">.- No existe un medio menos lesivo previsto en ley que la reserva de información debido a que, en este caso, la entrega de la nota diplomática solicitada puede menoscabar “las relaciones internacionales cuando se difunda información entregada al Estado Mexicano con carácter de confidencial por otros estados, organismos internacionales o cualquier otro sujeto de derecho internacional”.  </w:t>
      </w:r>
    </w:p>
    <w:p w:rsidR="009E280E" w:rsidRPr="009E280E" w:rsidRDefault="009E280E" w:rsidP="008A603B">
      <w:pPr>
        <w:numPr>
          <w:ilvl w:val="0"/>
          <w:numId w:val="24"/>
        </w:numPr>
        <w:spacing w:after="120"/>
        <w:ind w:left="993" w:right="284"/>
        <w:jc w:val="both"/>
        <w:rPr>
          <w:rFonts w:ascii="Montserrat" w:hAnsi="Montserrat"/>
          <w:i/>
          <w:sz w:val="20"/>
          <w:szCs w:val="20"/>
        </w:rPr>
      </w:pPr>
      <w:r w:rsidRPr="009E280E">
        <w:rPr>
          <w:rFonts w:ascii="Montserrat" w:hAnsi="Montserrat"/>
          <w:b/>
          <w:bCs/>
          <w:i/>
          <w:sz w:val="20"/>
          <w:szCs w:val="20"/>
        </w:rPr>
        <w:t>Limitación es proporcional en sentido estricto.</w:t>
      </w:r>
      <w:r w:rsidRPr="009E280E">
        <w:rPr>
          <w:rFonts w:ascii="Montserrat" w:hAnsi="Montserrat"/>
          <w:i/>
          <w:sz w:val="20"/>
          <w:szCs w:val="20"/>
        </w:rPr>
        <w:t xml:space="preserve"> Esta Dirección General ya ha establecido que tiene un interés mayor en reservar la </w:t>
      </w:r>
      <w:r w:rsidRPr="009E280E">
        <w:rPr>
          <w:rFonts w:ascii="Montserrat" w:hAnsi="Montserrat"/>
          <w:i/>
          <w:sz w:val="20"/>
          <w:szCs w:val="20"/>
        </w:rPr>
        <w:lastRenderedPageBreak/>
        <w:t xml:space="preserve">nota diplomática que se solicita por un período de cinco años de conformidad con las disposiciones de las fracciones II, III y XIII de la LFTAI, y que la reserva constituye el medio disponible para evitar el perjuicio que conllevaría su divulgación. En ese sentido, se ha demostrado que la divulgación podría minar la práctica diplomática de la conducción de relaciones bajo las condiciones de confiabilidad y confidencialidad que sustentan los contactos entre México y otros países y sujetos de derecho internacional (incluyendo la República de Kazajstán). </w:t>
      </w:r>
    </w:p>
    <w:p w:rsidR="009E280E" w:rsidRPr="009E280E" w:rsidRDefault="009E280E" w:rsidP="009E280E">
      <w:pPr>
        <w:spacing w:after="120"/>
        <w:ind w:left="567" w:right="284"/>
        <w:jc w:val="both"/>
        <w:rPr>
          <w:rFonts w:ascii="Montserrat" w:hAnsi="Montserrat"/>
          <w:i/>
          <w:sz w:val="20"/>
          <w:szCs w:val="20"/>
        </w:rPr>
      </w:pPr>
      <w:r w:rsidRPr="009E280E">
        <w:rPr>
          <w:rFonts w:ascii="Montserrat" w:hAnsi="Montserrat"/>
          <w:i/>
          <w:sz w:val="20"/>
          <w:szCs w:val="20"/>
        </w:rPr>
        <w:t xml:space="preserve">La preservación de la expectativa de confidencialidad de las comunicaciones vía nota diplomática que otros Estados depositan para su resguardo en el Estado mexicano, es un principio ante el cual la limitación a la entrega se torna proporcional. Ello es así dado que, luego de una debida ponderación de los diversos elementos del caso, debe permanecer el respeto a la práctica internacional que garantiza el principio de confidencialidad de las comunicaciones diplomáticas, base fundamental sobre la cual la Secretaría de Relaciones Exteriores actúa para evitar que las relaciones de confianza – necesarias para el desarrollo de una buena relación bilateral – se vean dañadas o socavadas. </w:t>
      </w:r>
    </w:p>
    <w:p w:rsidR="00546959" w:rsidRPr="008A603B" w:rsidRDefault="009E280E" w:rsidP="009E280E">
      <w:pPr>
        <w:spacing w:after="120"/>
        <w:ind w:left="567" w:right="284"/>
        <w:jc w:val="both"/>
        <w:rPr>
          <w:rFonts w:ascii="Montserrat" w:hAnsi="Montserrat"/>
          <w:i/>
          <w:sz w:val="20"/>
          <w:szCs w:val="20"/>
          <w:lang w:val="es-ES"/>
        </w:rPr>
      </w:pPr>
      <w:r w:rsidRPr="009E280E">
        <w:rPr>
          <w:rFonts w:ascii="Montserrat" w:hAnsi="Montserrat"/>
          <w:i/>
          <w:sz w:val="20"/>
          <w:szCs w:val="20"/>
        </w:rPr>
        <w:t xml:space="preserve">Así, el riesgo de perjuicio para el Gobierno de México, en el contexto de la </w:t>
      </w:r>
      <w:r w:rsidRPr="008A603B">
        <w:rPr>
          <w:rFonts w:ascii="Montserrat" w:hAnsi="Montserrat"/>
          <w:i/>
          <w:sz w:val="20"/>
          <w:szCs w:val="20"/>
        </w:rPr>
        <w:t>relación bilateral con Kazajstán, justifica la reserva de la nota diplomática por el período citado</w:t>
      </w:r>
      <w:r w:rsidR="00546959" w:rsidRPr="008A603B">
        <w:rPr>
          <w:rFonts w:ascii="Montserrat" w:hAnsi="Montserrat"/>
          <w:i/>
          <w:sz w:val="20"/>
          <w:szCs w:val="20"/>
          <w:lang w:val="es-ES"/>
        </w:rPr>
        <w:t>”. (Sic)</w:t>
      </w:r>
    </w:p>
    <w:p w:rsidR="000719B3" w:rsidRPr="000719B3" w:rsidRDefault="000719B3" w:rsidP="000719B3">
      <w:pPr>
        <w:jc w:val="both"/>
        <w:rPr>
          <w:rFonts w:ascii="Montserrat" w:eastAsia="Calibri" w:hAnsi="Montserrat" w:cs="Arial"/>
          <w:bCs/>
          <w:highlight w:val="yellow"/>
        </w:rPr>
      </w:pPr>
    </w:p>
    <w:p w:rsidR="009E280E" w:rsidRPr="00F13054" w:rsidRDefault="009E280E" w:rsidP="009E280E">
      <w:pPr>
        <w:jc w:val="both"/>
        <w:rPr>
          <w:rFonts w:ascii="Montserrat" w:eastAsia="Calibri" w:hAnsi="Montserrat" w:cs="Arial"/>
          <w:bCs/>
        </w:rPr>
      </w:pPr>
      <w:r w:rsidRPr="00F13054">
        <w:rPr>
          <w:rFonts w:ascii="Montserrat" w:eastAsia="Calibri" w:hAnsi="Montserrat" w:cs="Arial"/>
          <w:bCs/>
        </w:rPr>
        <w:t xml:space="preserve">Con fecha </w:t>
      </w:r>
      <w:r w:rsidR="000719B3">
        <w:rPr>
          <w:rFonts w:ascii="Montserrat" w:eastAsia="Calibri" w:hAnsi="Montserrat" w:cs="Arial"/>
          <w:bCs/>
        </w:rPr>
        <w:t>25</w:t>
      </w:r>
      <w:r w:rsidRPr="00F13054">
        <w:rPr>
          <w:rFonts w:ascii="Montserrat" w:eastAsia="Calibri" w:hAnsi="Montserrat" w:cs="Arial"/>
          <w:bCs/>
        </w:rPr>
        <w:t xml:space="preserve"> de </w:t>
      </w:r>
      <w:r w:rsidR="000719B3">
        <w:rPr>
          <w:rFonts w:ascii="Montserrat" w:eastAsia="Calibri" w:hAnsi="Montserrat" w:cs="Arial"/>
          <w:bCs/>
        </w:rPr>
        <w:t>febrer</w:t>
      </w:r>
      <w:r w:rsidRPr="00F13054">
        <w:rPr>
          <w:rFonts w:ascii="Montserrat" w:eastAsia="Calibri" w:hAnsi="Montserrat" w:cs="Arial"/>
          <w:bCs/>
        </w:rPr>
        <w:t xml:space="preserve">o de 2019, a través de correo electrónico No. </w:t>
      </w:r>
      <w:r w:rsidR="000719B3" w:rsidRPr="000719B3">
        <w:rPr>
          <w:rFonts w:ascii="Montserrat" w:eastAsia="Calibri" w:hAnsi="Montserrat" w:cs="Arial"/>
          <w:bCs/>
        </w:rPr>
        <w:t>SSRE-0399</w:t>
      </w:r>
      <w:r w:rsidRPr="00F13054">
        <w:rPr>
          <w:rFonts w:ascii="Montserrat" w:eastAsia="Calibri" w:hAnsi="Montserrat" w:cs="Arial"/>
          <w:bCs/>
        </w:rPr>
        <w:t xml:space="preserve">, la </w:t>
      </w:r>
      <w:r w:rsidRPr="00F13054">
        <w:rPr>
          <w:rFonts w:ascii="Montserrat" w:eastAsia="Calibri" w:hAnsi="Montserrat" w:cs="Arial"/>
          <w:b/>
          <w:bCs/>
        </w:rPr>
        <w:t>SS</w:t>
      </w:r>
      <w:r w:rsidR="000719B3">
        <w:rPr>
          <w:rFonts w:ascii="Montserrat" w:eastAsia="Calibri" w:hAnsi="Montserrat" w:cs="Arial"/>
          <w:b/>
          <w:bCs/>
        </w:rPr>
        <w:t>RE</w:t>
      </w:r>
      <w:r w:rsidRPr="00F13054">
        <w:rPr>
          <w:rFonts w:ascii="Montserrat" w:eastAsia="Calibri" w:hAnsi="Montserrat" w:cs="Arial"/>
          <w:b/>
          <w:bCs/>
        </w:rPr>
        <w:t xml:space="preserve"> </w:t>
      </w:r>
      <w:r w:rsidRPr="00F13054">
        <w:rPr>
          <w:rFonts w:ascii="Montserrat" w:eastAsia="Calibri" w:hAnsi="Montserrat" w:cs="Arial"/>
          <w:bCs/>
        </w:rPr>
        <w:t>manifestó lo siguiente:</w:t>
      </w:r>
    </w:p>
    <w:p w:rsidR="009E280E" w:rsidRPr="00F13054" w:rsidRDefault="009E280E" w:rsidP="009E280E">
      <w:pPr>
        <w:tabs>
          <w:tab w:val="left" w:pos="1751"/>
        </w:tabs>
        <w:rPr>
          <w:rFonts w:ascii="Montserrat" w:eastAsia="Calibri" w:hAnsi="Montserrat" w:cs="Arial"/>
          <w:bCs/>
        </w:rPr>
      </w:pPr>
    </w:p>
    <w:p w:rsidR="009E280E" w:rsidRPr="00B9658A" w:rsidRDefault="009E280E" w:rsidP="009E280E">
      <w:pPr>
        <w:spacing w:after="120"/>
        <w:ind w:left="567" w:right="284"/>
        <w:jc w:val="both"/>
        <w:rPr>
          <w:rFonts w:ascii="Montserrat" w:hAnsi="Montserrat" w:cs="Arial"/>
          <w:i/>
          <w:sz w:val="20"/>
          <w:szCs w:val="20"/>
        </w:rPr>
      </w:pPr>
      <w:r w:rsidRPr="00F13054">
        <w:rPr>
          <w:rFonts w:ascii="Montserrat" w:hAnsi="Montserrat" w:cs="Arial"/>
          <w:i/>
          <w:sz w:val="20"/>
          <w:szCs w:val="20"/>
        </w:rPr>
        <w:t>“</w:t>
      </w:r>
      <w:r w:rsidR="000719B3" w:rsidRPr="000719B3">
        <w:rPr>
          <w:rFonts w:ascii="Montserrat" w:hAnsi="Montserrat" w:cs="Arial"/>
          <w:i/>
          <w:sz w:val="20"/>
          <w:szCs w:val="20"/>
        </w:rPr>
        <w:t xml:space="preserve">Sobre el particular, se informa a esa Unidad de Transparencia que esta Subsecretaría se aviene a la respuesta proporcionada por la Dirección General para África y Medio Oriente, mediante correo electrónico AMO00152, del 25 de febrero </w:t>
      </w:r>
      <w:r w:rsidR="000719B3" w:rsidRPr="008A603B">
        <w:rPr>
          <w:rFonts w:ascii="Montserrat" w:hAnsi="Montserrat" w:cs="Arial"/>
          <w:i/>
          <w:sz w:val="20"/>
          <w:szCs w:val="20"/>
        </w:rPr>
        <w:t>en curso</w:t>
      </w:r>
      <w:r w:rsidR="000719B3" w:rsidRPr="008A603B">
        <w:rPr>
          <w:rFonts w:ascii="Montserrat" w:hAnsi="Montserrat"/>
          <w:i/>
          <w:sz w:val="20"/>
          <w:szCs w:val="20"/>
          <w:lang w:val="es-ES"/>
        </w:rPr>
        <w:t>”. (Sic)</w:t>
      </w:r>
    </w:p>
    <w:p w:rsidR="000A02B9" w:rsidRPr="008A603B" w:rsidRDefault="000A02B9" w:rsidP="000A02B9">
      <w:pPr>
        <w:jc w:val="both"/>
        <w:rPr>
          <w:rFonts w:ascii="Montserrat" w:eastAsia="Calibri" w:hAnsi="Montserrat" w:cs="Arial"/>
          <w:bCs/>
        </w:rPr>
      </w:pPr>
    </w:p>
    <w:p w:rsidR="00A45F73" w:rsidRPr="008A603B" w:rsidRDefault="00A45F73" w:rsidP="00A45F73">
      <w:pPr>
        <w:pStyle w:val="Prrafodelista"/>
        <w:numPr>
          <w:ilvl w:val="0"/>
          <w:numId w:val="1"/>
        </w:numPr>
        <w:spacing w:after="120"/>
        <w:ind w:left="709"/>
        <w:jc w:val="both"/>
        <w:rPr>
          <w:rFonts w:ascii="Montserrat SemiBold" w:eastAsia="Calibri" w:hAnsi="Montserrat SemiBold" w:cs="Arial"/>
          <w:b/>
          <w:i/>
          <w:u w:val="single"/>
        </w:rPr>
      </w:pPr>
      <w:r w:rsidRPr="008A603B">
        <w:rPr>
          <w:rFonts w:ascii="Montserrat SemiBold" w:eastAsia="Calibri" w:hAnsi="Montserrat SemiBold" w:cs="Arial"/>
          <w:b/>
          <w:i/>
          <w:u w:val="single"/>
        </w:rPr>
        <w:t>DESAHOGO DE ALEGATOS</w:t>
      </w:r>
    </w:p>
    <w:p w:rsidR="00A45F73" w:rsidRPr="008A603B" w:rsidRDefault="00A45F73" w:rsidP="00A45F73">
      <w:pPr>
        <w:jc w:val="both"/>
        <w:rPr>
          <w:rFonts w:ascii="Montserrat" w:eastAsia="Calibri" w:hAnsi="Montserrat" w:cs="Arial"/>
          <w:bCs/>
        </w:rPr>
      </w:pPr>
      <w:r w:rsidRPr="008A603B">
        <w:rPr>
          <w:rFonts w:ascii="Montserrat" w:eastAsia="Calibri" w:hAnsi="Montserrat" w:cs="Arial"/>
          <w:bCs/>
        </w:rPr>
        <w:lastRenderedPageBreak/>
        <w:t xml:space="preserve">Con fecha </w:t>
      </w:r>
      <w:r w:rsidR="000719B3" w:rsidRPr="008A603B">
        <w:rPr>
          <w:rFonts w:ascii="Montserrat" w:eastAsia="Calibri" w:hAnsi="Montserrat" w:cs="Arial"/>
          <w:bCs/>
        </w:rPr>
        <w:t>01</w:t>
      </w:r>
      <w:r w:rsidRPr="008A603B">
        <w:rPr>
          <w:rFonts w:ascii="Montserrat" w:eastAsia="Calibri" w:hAnsi="Montserrat" w:cs="Arial"/>
          <w:bCs/>
        </w:rPr>
        <w:t xml:space="preserve"> de </w:t>
      </w:r>
      <w:r w:rsidR="000719B3" w:rsidRPr="008A603B">
        <w:rPr>
          <w:rFonts w:ascii="Montserrat" w:eastAsia="Calibri" w:hAnsi="Montserrat" w:cs="Arial"/>
          <w:bCs/>
        </w:rPr>
        <w:t>marz</w:t>
      </w:r>
      <w:r w:rsidR="007804E9" w:rsidRPr="008A603B">
        <w:rPr>
          <w:rFonts w:ascii="Montserrat" w:eastAsia="Calibri" w:hAnsi="Montserrat" w:cs="Arial"/>
          <w:bCs/>
        </w:rPr>
        <w:t>o</w:t>
      </w:r>
      <w:r w:rsidRPr="008A603B">
        <w:rPr>
          <w:rFonts w:ascii="Montserrat" w:eastAsia="Calibri" w:hAnsi="Montserrat" w:cs="Arial"/>
          <w:bCs/>
        </w:rPr>
        <w:t xml:space="preserve"> de 201</w:t>
      </w:r>
      <w:r w:rsidR="007804E9" w:rsidRPr="008A603B">
        <w:rPr>
          <w:rFonts w:ascii="Montserrat" w:eastAsia="Calibri" w:hAnsi="Montserrat" w:cs="Arial"/>
          <w:bCs/>
        </w:rPr>
        <w:t>9</w:t>
      </w:r>
      <w:r w:rsidRPr="008A603B">
        <w:rPr>
          <w:rFonts w:ascii="Montserrat" w:eastAsia="Calibri" w:hAnsi="Montserrat" w:cs="Arial"/>
          <w:bCs/>
        </w:rPr>
        <w:t xml:space="preserve">, la </w:t>
      </w:r>
      <w:r w:rsidRPr="008A603B">
        <w:rPr>
          <w:rFonts w:ascii="Montserrat" w:eastAsia="Calibri" w:hAnsi="Montserrat" w:cs="Arial"/>
          <w:b/>
          <w:bCs/>
        </w:rPr>
        <w:t>SRE</w:t>
      </w:r>
      <w:r w:rsidRPr="008A603B">
        <w:rPr>
          <w:rFonts w:ascii="Montserrat" w:eastAsia="Calibri" w:hAnsi="Montserrat" w:cs="Arial"/>
          <w:bCs/>
        </w:rPr>
        <w:t xml:space="preserve"> a través del Sistema de la </w:t>
      </w:r>
      <w:r w:rsidRPr="008A603B">
        <w:rPr>
          <w:rFonts w:ascii="Montserrat" w:eastAsia="Calibri" w:hAnsi="Montserrat" w:cs="Arial"/>
          <w:b/>
          <w:bCs/>
        </w:rPr>
        <w:t>PNT</w:t>
      </w:r>
      <w:r w:rsidRPr="008A603B">
        <w:rPr>
          <w:rFonts w:ascii="Montserrat" w:eastAsia="Calibri" w:hAnsi="Montserrat" w:cs="Arial"/>
          <w:bCs/>
        </w:rPr>
        <w:t xml:space="preserve">: </w:t>
      </w:r>
      <w:r w:rsidRPr="008A603B">
        <w:rPr>
          <w:rFonts w:ascii="Montserrat" w:eastAsia="Calibri" w:hAnsi="Montserrat" w:cs="Arial"/>
          <w:b/>
          <w:bCs/>
        </w:rPr>
        <w:t>SIGEMI-SICOM</w:t>
      </w:r>
      <w:r w:rsidRPr="008A603B">
        <w:rPr>
          <w:rFonts w:ascii="Montserrat" w:eastAsia="Calibri" w:hAnsi="Montserrat" w:cs="Arial"/>
          <w:bCs/>
        </w:rPr>
        <w:t xml:space="preserve">, </w:t>
      </w:r>
      <w:r w:rsidR="00AC5D13" w:rsidRPr="008A603B">
        <w:rPr>
          <w:rFonts w:ascii="Montserrat" w:eastAsia="Calibri" w:hAnsi="Montserrat" w:cs="Arial"/>
          <w:bCs/>
        </w:rPr>
        <w:t>rindió Alegatos respe</w:t>
      </w:r>
      <w:r w:rsidR="006E76B7" w:rsidRPr="008A603B">
        <w:rPr>
          <w:rFonts w:ascii="Montserrat" w:eastAsia="Calibri" w:hAnsi="Montserrat" w:cs="Arial"/>
          <w:bCs/>
        </w:rPr>
        <w:t xml:space="preserve">ctivos al Recurso de Revisión </w:t>
      </w:r>
      <w:r w:rsidR="006E76B7" w:rsidRPr="008A603B">
        <w:rPr>
          <w:rFonts w:ascii="Montserrat" w:eastAsia="Calibri" w:hAnsi="Montserrat" w:cs="Arial"/>
          <w:b/>
          <w:bCs/>
        </w:rPr>
        <w:t>RR</w:t>
      </w:r>
      <w:r w:rsidR="00AC5D13" w:rsidRPr="008A603B">
        <w:rPr>
          <w:rFonts w:ascii="Montserrat" w:eastAsia="Calibri" w:hAnsi="Montserrat" w:cs="Arial"/>
          <w:b/>
          <w:bCs/>
        </w:rPr>
        <w:t xml:space="preserve">A </w:t>
      </w:r>
      <w:r w:rsidR="000719B3" w:rsidRPr="008A603B">
        <w:rPr>
          <w:rFonts w:ascii="Montserrat" w:eastAsia="Calibri" w:hAnsi="Montserrat" w:cs="Arial"/>
          <w:b/>
          <w:bCs/>
        </w:rPr>
        <w:t>1542</w:t>
      </w:r>
      <w:r w:rsidR="00AC5D13" w:rsidRPr="008A603B">
        <w:rPr>
          <w:rFonts w:ascii="Montserrat" w:eastAsia="Calibri" w:hAnsi="Montserrat" w:cs="Arial"/>
          <w:b/>
          <w:bCs/>
        </w:rPr>
        <w:t>/1</w:t>
      </w:r>
      <w:r w:rsidR="006E76B7" w:rsidRPr="008A603B">
        <w:rPr>
          <w:rFonts w:ascii="Montserrat" w:eastAsia="Calibri" w:hAnsi="Montserrat" w:cs="Arial"/>
          <w:b/>
          <w:bCs/>
        </w:rPr>
        <w:t>9</w:t>
      </w:r>
      <w:r w:rsidR="00AC5D13" w:rsidRPr="008A603B">
        <w:rPr>
          <w:rFonts w:ascii="Montserrat" w:eastAsia="Calibri" w:hAnsi="Montserrat" w:cs="Arial"/>
          <w:bCs/>
        </w:rPr>
        <w:t xml:space="preserve">, mediante los cuales se solicitaba al </w:t>
      </w:r>
      <w:r w:rsidR="00A63E7D" w:rsidRPr="008A603B">
        <w:rPr>
          <w:rFonts w:ascii="Montserrat" w:eastAsia="Calibri" w:hAnsi="Montserrat" w:cs="Arial"/>
          <w:bCs/>
        </w:rPr>
        <w:t>C</w:t>
      </w:r>
      <w:r w:rsidR="00AC5D13" w:rsidRPr="008A603B">
        <w:rPr>
          <w:rFonts w:ascii="Montserrat" w:eastAsia="Calibri" w:hAnsi="Montserrat" w:cs="Arial"/>
          <w:bCs/>
        </w:rPr>
        <w:t xml:space="preserve">omisionado </w:t>
      </w:r>
      <w:r w:rsidR="00A63E7D" w:rsidRPr="008A603B">
        <w:rPr>
          <w:rFonts w:ascii="Montserrat" w:eastAsia="Calibri" w:hAnsi="Montserrat" w:cs="Arial"/>
          <w:bCs/>
        </w:rPr>
        <w:t xml:space="preserve">Ponente </w:t>
      </w:r>
      <w:r w:rsidR="00AC5D13" w:rsidRPr="008A603B">
        <w:rPr>
          <w:rFonts w:ascii="Montserrat" w:eastAsia="Calibri" w:hAnsi="Montserrat" w:cs="Arial"/>
          <w:bCs/>
        </w:rPr>
        <w:t xml:space="preserve">confirmar la atención brindada </w:t>
      </w:r>
      <w:r w:rsidR="00D54CF4" w:rsidRPr="008A603B">
        <w:rPr>
          <w:rFonts w:ascii="Montserrat" w:eastAsia="Calibri" w:hAnsi="Montserrat" w:cs="Arial"/>
          <w:bCs/>
        </w:rPr>
        <w:t>a la solicitud que nos ocupa</w:t>
      </w:r>
      <w:r w:rsidR="00AC5D13" w:rsidRPr="008A603B">
        <w:rPr>
          <w:rFonts w:ascii="Montserrat" w:eastAsia="Calibri" w:hAnsi="Montserrat" w:cs="Arial"/>
          <w:bCs/>
        </w:rPr>
        <w:t>.</w:t>
      </w:r>
    </w:p>
    <w:p w:rsidR="00A45F73" w:rsidRPr="009C6265" w:rsidRDefault="00A45F73" w:rsidP="00A45F73">
      <w:pPr>
        <w:jc w:val="both"/>
        <w:rPr>
          <w:rFonts w:ascii="Montserrat" w:eastAsia="Calibri" w:hAnsi="Montserrat" w:cs="Arial"/>
          <w:bCs/>
        </w:rPr>
      </w:pPr>
    </w:p>
    <w:p w:rsidR="00546959" w:rsidRPr="009C6265" w:rsidRDefault="00546959" w:rsidP="00546959">
      <w:pPr>
        <w:pStyle w:val="Prrafodelista"/>
        <w:numPr>
          <w:ilvl w:val="0"/>
          <w:numId w:val="1"/>
        </w:numPr>
        <w:spacing w:after="120"/>
        <w:ind w:left="709"/>
        <w:jc w:val="both"/>
        <w:rPr>
          <w:rFonts w:ascii="Montserrat SemiBold" w:eastAsia="Calibri" w:hAnsi="Montserrat SemiBold" w:cs="Arial"/>
          <w:b/>
          <w:i/>
          <w:u w:val="single"/>
        </w:rPr>
      </w:pPr>
      <w:r w:rsidRPr="009C6265">
        <w:rPr>
          <w:rFonts w:ascii="Montserrat SemiBold" w:eastAsia="Calibri" w:hAnsi="Montserrat SemiBold" w:cs="Arial"/>
          <w:b/>
          <w:i/>
          <w:u w:val="single"/>
        </w:rPr>
        <w:t>AUDIENCIA DE ACCESO A INFORMACIÓN</w:t>
      </w:r>
    </w:p>
    <w:p w:rsidR="00546959" w:rsidRPr="009C6265" w:rsidRDefault="00546959" w:rsidP="00546959">
      <w:pPr>
        <w:jc w:val="both"/>
        <w:rPr>
          <w:rFonts w:ascii="Montserrat" w:eastAsia="Calibri" w:hAnsi="Montserrat" w:cs="Arial"/>
          <w:bCs/>
        </w:rPr>
      </w:pPr>
      <w:r w:rsidRPr="009C6265">
        <w:rPr>
          <w:rFonts w:ascii="Montserrat" w:eastAsia="Calibri" w:hAnsi="Montserrat" w:cs="Arial"/>
          <w:bCs/>
        </w:rPr>
        <w:t xml:space="preserve">Con fecha </w:t>
      </w:r>
      <w:r w:rsidR="000719B3" w:rsidRPr="009C6265">
        <w:rPr>
          <w:rFonts w:ascii="Montserrat" w:eastAsia="Calibri" w:hAnsi="Montserrat" w:cs="Arial"/>
          <w:bCs/>
        </w:rPr>
        <w:t>06</w:t>
      </w:r>
      <w:r w:rsidR="00C54661" w:rsidRPr="009C6265">
        <w:rPr>
          <w:rFonts w:ascii="Montserrat" w:eastAsia="Calibri" w:hAnsi="Montserrat" w:cs="Arial"/>
          <w:bCs/>
        </w:rPr>
        <w:t xml:space="preserve"> </w:t>
      </w:r>
      <w:r w:rsidRPr="009C6265">
        <w:rPr>
          <w:rFonts w:ascii="Montserrat" w:eastAsia="Calibri" w:hAnsi="Montserrat" w:cs="Arial"/>
          <w:bCs/>
        </w:rPr>
        <w:t xml:space="preserve">de </w:t>
      </w:r>
      <w:r w:rsidR="008A603B" w:rsidRPr="009C6265">
        <w:rPr>
          <w:rFonts w:ascii="Montserrat" w:eastAsia="Calibri" w:hAnsi="Montserrat" w:cs="Arial"/>
          <w:bCs/>
        </w:rPr>
        <w:t>may</w:t>
      </w:r>
      <w:r w:rsidR="000719B3" w:rsidRPr="009C6265">
        <w:rPr>
          <w:rFonts w:ascii="Montserrat" w:eastAsia="Calibri" w:hAnsi="Montserrat" w:cs="Arial"/>
          <w:bCs/>
        </w:rPr>
        <w:t>o</w:t>
      </w:r>
      <w:r w:rsidRPr="009C6265">
        <w:rPr>
          <w:rFonts w:ascii="Montserrat" w:eastAsia="Calibri" w:hAnsi="Montserrat" w:cs="Arial"/>
          <w:bCs/>
        </w:rPr>
        <w:t xml:space="preserve"> de 2019, el </w:t>
      </w:r>
      <w:r w:rsidRPr="009C6265">
        <w:rPr>
          <w:rFonts w:ascii="Montserrat" w:eastAsia="Calibri" w:hAnsi="Montserrat" w:cs="Arial"/>
          <w:b/>
          <w:bCs/>
        </w:rPr>
        <w:t>INAI</w:t>
      </w:r>
      <w:r w:rsidRPr="009C6265">
        <w:rPr>
          <w:rFonts w:ascii="Montserrat" w:eastAsia="Calibri" w:hAnsi="Montserrat" w:cs="Arial"/>
          <w:bCs/>
        </w:rPr>
        <w:t xml:space="preserve"> notificó a través del Sistema de la </w:t>
      </w:r>
      <w:r w:rsidRPr="009C6265">
        <w:rPr>
          <w:rFonts w:ascii="Montserrat" w:eastAsia="Calibri" w:hAnsi="Montserrat" w:cs="Arial"/>
          <w:b/>
          <w:bCs/>
        </w:rPr>
        <w:t>PNT</w:t>
      </w:r>
      <w:r w:rsidRPr="009C6265">
        <w:rPr>
          <w:rFonts w:ascii="Montserrat" w:eastAsia="Calibri" w:hAnsi="Montserrat" w:cs="Arial"/>
          <w:bCs/>
        </w:rPr>
        <w:t xml:space="preserve">: </w:t>
      </w:r>
      <w:r w:rsidRPr="009C6265">
        <w:rPr>
          <w:rFonts w:ascii="Montserrat" w:eastAsia="Calibri" w:hAnsi="Montserrat" w:cs="Arial"/>
          <w:b/>
          <w:bCs/>
        </w:rPr>
        <w:t>SIGEMI-SICOM</w:t>
      </w:r>
      <w:r w:rsidRPr="009C6265">
        <w:rPr>
          <w:rFonts w:ascii="Montserrat" w:eastAsia="Calibri" w:hAnsi="Montserrat" w:cs="Arial"/>
          <w:bCs/>
        </w:rPr>
        <w:t xml:space="preserve">, el Acuerdo mediante el cual cita a comparecer al desahogo del acceso respectivo, relativo al recurso de revisión </w:t>
      </w:r>
      <w:r w:rsidR="00C54661" w:rsidRPr="009C6265">
        <w:rPr>
          <w:rFonts w:ascii="Montserrat" w:eastAsia="Calibri" w:hAnsi="Montserrat" w:cs="Arial"/>
          <w:b/>
          <w:bCs/>
        </w:rPr>
        <w:t>RRA 15</w:t>
      </w:r>
      <w:r w:rsidR="000719B3" w:rsidRPr="009C6265">
        <w:rPr>
          <w:rFonts w:ascii="Montserrat" w:eastAsia="Calibri" w:hAnsi="Montserrat" w:cs="Arial"/>
          <w:b/>
          <w:bCs/>
        </w:rPr>
        <w:t>42</w:t>
      </w:r>
      <w:r w:rsidRPr="009C6265">
        <w:rPr>
          <w:rFonts w:ascii="Montserrat" w:eastAsia="Calibri" w:hAnsi="Montserrat" w:cs="Arial"/>
          <w:b/>
          <w:bCs/>
        </w:rPr>
        <w:t>/19</w:t>
      </w:r>
      <w:r w:rsidRPr="009C6265">
        <w:rPr>
          <w:rFonts w:ascii="Montserrat" w:eastAsia="Calibri" w:hAnsi="Montserrat" w:cs="Arial"/>
          <w:bCs/>
        </w:rPr>
        <w:t>.</w:t>
      </w:r>
    </w:p>
    <w:p w:rsidR="00546959" w:rsidRPr="009C6265" w:rsidRDefault="00546959" w:rsidP="00546959">
      <w:pPr>
        <w:jc w:val="both"/>
        <w:rPr>
          <w:rFonts w:ascii="Montserrat" w:eastAsia="Calibri" w:hAnsi="Montserrat" w:cs="Arial"/>
          <w:bCs/>
        </w:rPr>
      </w:pPr>
    </w:p>
    <w:p w:rsidR="00546959" w:rsidRPr="009C6265" w:rsidRDefault="00546959" w:rsidP="00546959">
      <w:pPr>
        <w:jc w:val="both"/>
        <w:rPr>
          <w:rFonts w:ascii="Montserrat" w:eastAsia="Calibri" w:hAnsi="Montserrat" w:cs="Arial"/>
          <w:bCs/>
        </w:rPr>
      </w:pPr>
      <w:r w:rsidRPr="009C6265">
        <w:rPr>
          <w:rFonts w:ascii="Montserrat" w:eastAsia="Calibri" w:hAnsi="Montserrat" w:cs="Arial"/>
          <w:bCs/>
        </w:rPr>
        <w:t xml:space="preserve">Con fecha </w:t>
      </w:r>
      <w:r w:rsidR="000719B3" w:rsidRPr="009C6265">
        <w:rPr>
          <w:rFonts w:ascii="Montserrat" w:eastAsia="Calibri" w:hAnsi="Montserrat" w:cs="Arial"/>
          <w:bCs/>
        </w:rPr>
        <w:t>08</w:t>
      </w:r>
      <w:r w:rsidRPr="009C6265">
        <w:rPr>
          <w:rFonts w:ascii="Montserrat" w:eastAsia="Calibri" w:hAnsi="Montserrat" w:cs="Arial"/>
          <w:bCs/>
        </w:rPr>
        <w:t xml:space="preserve"> de </w:t>
      </w:r>
      <w:r w:rsidR="000719B3" w:rsidRPr="009C6265">
        <w:rPr>
          <w:rFonts w:ascii="Montserrat" w:eastAsia="Calibri" w:hAnsi="Montserrat" w:cs="Arial"/>
          <w:bCs/>
        </w:rPr>
        <w:t>mayo</w:t>
      </w:r>
      <w:r w:rsidRPr="009C6265">
        <w:rPr>
          <w:rFonts w:ascii="Montserrat" w:eastAsia="Calibri" w:hAnsi="Montserrat" w:cs="Arial"/>
          <w:bCs/>
        </w:rPr>
        <w:t xml:space="preserve"> de 2019, se llevó a cabo en instalaciones del </w:t>
      </w:r>
      <w:r w:rsidRPr="009C6265">
        <w:rPr>
          <w:rFonts w:ascii="Montserrat" w:eastAsia="Calibri" w:hAnsi="Montserrat" w:cs="Arial"/>
          <w:b/>
          <w:bCs/>
        </w:rPr>
        <w:t>INAI</w:t>
      </w:r>
      <w:r w:rsidRPr="009C6265">
        <w:rPr>
          <w:rFonts w:ascii="Montserrat" w:eastAsia="Calibri" w:hAnsi="Montserrat" w:cs="Arial"/>
          <w:bCs/>
        </w:rPr>
        <w:t xml:space="preserve">, el desahogo del acceso respectivo, en el cual se exhibió la información clasificada por parte de la </w:t>
      </w:r>
      <w:r w:rsidR="000719B3" w:rsidRPr="009C6265">
        <w:rPr>
          <w:rFonts w:ascii="Montserrat" w:eastAsia="Calibri" w:hAnsi="Montserrat" w:cs="Arial"/>
          <w:b/>
          <w:bCs/>
        </w:rPr>
        <w:t>DGAMO</w:t>
      </w:r>
      <w:r w:rsidRPr="009C6265">
        <w:rPr>
          <w:rFonts w:ascii="Montserrat" w:eastAsia="Calibri" w:hAnsi="Montserrat" w:cs="Arial"/>
          <w:bCs/>
        </w:rPr>
        <w:t>.</w:t>
      </w:r>
    </w:p>
    <w:p w:rsidR="00C54661" w:rsidRPr="00FD712B" w:rsidRDefault="00C54661" w:rsidP="00A45F73">
      <w:pPr>
        <w:jc w:val="both"/>
        <w:rPr>
          <w:rFonts w:ascii="Montserrat" w:eastAsia="Calibri" w:hAnsi="Montserrat" w:cs="Arial"/>
          <w:bCs/>
        </w:rPr>
      </w:pPr>
    </w:p>
    <w:p w:rsidR="008F72BE" w:rsidRPr="00FD712B" w:rsidRDefault="008F72BE" w:rsidP="008F72BE">
      <w:pPr>
        <w:pStyle w:val="Prrafodelista"/>
        <w:numPr>
          <w:ilvl w:val="0"/>
          <w:numId w:val="1"/>
        </w:numPr>
        <w:spacing w:after="120"/>
        <w:ind w:left="709"/>
        <w:jc w:val="both"/>
        <w:rPr>
          <w:rFonts w:ascii="Montserrat SemiBold" w:eastAsia="Calibri" w:hAnsi="Montserrat SemiBold" w:cs="Arial"/>
          <w:b/>
          <w:i/>
          <w:u w:val="single"/>
        </w:rPr>
      </w:pPr>
      <w:r w:rsidRPr="00FD712B">
        <w:rPr>
          <w:rFonts w:ascii="Montserrat SemiBold" w:eastAsia="Calibri" w:hAnsi="Montserrat SemiBold" w:cs="Arial"/>
          <w:b/>
          <w:i/>
          <w:u w:val="single"/>
        </w:rPr>
        <w:t>RESOLUCIÓN DEL INAI</w:t>
      </w:r>
    </w:p>
    <w:p w:rsidR="008F72BE" w:rsidRPr="00FD712B" w:rsidRDefault="008F72BE" w:rsidP="008F72BE">
      <w:pPr>
        <w:jc w:val="both"/>
        <w:rPr>
          <w:rFonts w:ascii="Montserrat" w:hAnsi="Montserrat" w:cs="Arial"/>
        </w:rPr>
      </w:pPr>
      <w:r w:rsidRPr="00FD712B">
        <w:rPr>
          <w:rFonts w:ascii="Montserrat" w:hAnsi="Montserrat" w:cs="Arial"/>
        </w:rPr>
        <w:t xml:space="preserve">Derivado del análisis realizado por el Pleno del </w:t>
      </w:r>
      <w:r w:rsidRPr="00FD712B">
        <w:rPr>
          <w:rFonts w:ascii="Montserrat" w:hAnsi="Montserrat" w:cs="Arial"/>
          <w:b/>
          <w:color w:val="000000"/>
        </w:rPr>
        <w:t>INAI</w:t>
      </w:r>
      <w:r w:rsidRPr="00FD712B">
        <w:rPr>
          <w:rFonts w:ascii="Montserrat" w:hAnsi="Montserrat" w:cs="Arial"/>
        </w:rPr>
        <w:t xml:space="preserve">, el </w:t>
      </w:r>
      <w:r w:rsidR="003F3B6D" w:rsidRPr="00FD712B">
        <w:rPr>
          <w:rFonts w:ascii="Montserrat" w:hAnsi="Montserrat" w:cs="Arial"/>
        </w:rPr>
        <w:t>27</w:t>
      </w:r>
      <w:r w:rsidRPr="00FD712B">
        <w:rPr>
          <w:rFonts w:ascii="Montserrat" w:hAnsi="Montserrat" w:cs="Arial"/>
        </w:rPr>
        <w:t xml:space="preserve"> de </w:t>
      </w:r>
      <w:r w:rsidR="00FD712B" w:rsidRPr="00FD712B">
        <w:rPr>
          <w:rFonts w:ascii="Montserrat" w:hAnsi="Montserrat" w:cs="Arial"/>
        </w:rPr>
        <w:t>mayo</w:t>
      </w:r>
      <w:r w:rsidRPr="00FD712B">
        <w:rPr>
          <w:rFonts w:ascii="Montserrat" w:hAnsi="Montserrat" w:cs="Arial"/>
        </w:rPr>
        <w:t xml:space="preserve"> de 2019 fue notificada a la Unidad de Transparencia, la resolución emitida al Recurso de Revisión de mérito, a través de la cual se señaló lo siguiente:</w:t>
      </w:r>
    </w:p>
    <w:p w:rsidR="008F72BE" w:rsidRPr="00FD712B" w:rsidRDefault="008F72BE" w:rsidP="008F72BE">
      <w:pPr>
        <w:jc w:val="both"/>
        <w:rPr>
          <w:rFonts w:ascii="Montserrat" w:eastAsia="Calibri" w:hAnsi="Montserrat" w:cs="Arial"/>
          <w:bCs/>
        </w:rPr>
      </w:pPr>
    </w:p>
    <w:p w:rsidR="00F72E8D" w:rsidRPr="00F72E8D" w:rsidRDefault="008F72BE" w:rsidP="00F72E8D">
      <w:pPr>
        <w:spacing w:after="120"/>
        <w:ind w:left="567" w:right="284"/>
        <w:jc w:val="both"/>
        <w:rPr>
          <w:rFonts w:ascii="Montserrat" w:hAnsi="Montserrat" w:cs="Arial"/>
          <w:b/>
          <w:bCs/>
          <w:i/>
          <w:iCs/>
          <w:sz w:val="20"/>
          <w:szCs w:val="20"/>
        </w:rPr>
      </w:pPr>
      <w:r w:rsidRPr="00FD712B">
        <w:rPr>
          <w:rFonts w:ascii="Montserrat" w:hAnsi="Montserrat"/>
          <w:i/>
          <w:iCs/>
          <w:sz w:val="20"/>
          <w:szCs w:val="20"/>
        </w:rPr>
        <w:t>“</w:t>
      </w:r>
      <w:r w:rsidR="00F72E8D" w:rsidRPr="00FD712B">
        <w:rPr>
          <w:rFonts w:ascii="Montserrat" w:hAnsi="Montserrat" w:cs="Arial"/>
          <w:b/>
          <w:bCs/>
          <w:i/>
          <w:iCs/>
          <w:sz w:val="20"/>
          <w:szCs w:val="20"/>
        </w:rPr>
        <w:t>TERCERO.-</w:t>
      </w:r>
    </w:p>
    <w:p w:rsidR="00F72E8D" w:rsidRPr="00F72E8D" w:rsidRDefault="00F72E8D" w:rsidP="00F72E8D">
      <w:pPr>
        <w:spacing w:after="120"/>
        <w:ind w:left="567" w:right="284"/>
        <w:jc w:val="both"/>
        <w:rPr>
          <w:rFonts w:ascii="Montserrat" w:hAnsi="Montserrat" w:cs="Arial"/>
          <w:i/>
          <w:iCs/>
          <w:sz w:val="20"/>
          <w:szCs w:val="20"/>
        </w:rPr>
      </w:pPr>
      <w:r w:rsidRPr="00F72E8D">
        <w:rPr>
          <w:rFonts w:ascii="Montserrat" w:hAnsi="Montserrat" w:cs="Arial"/>
          <w:i/>
          <w:iCs/>
          <w:sz w:val="20"/>
          <w:szCs w:val="20"/>
        </w:rPr>
        <w:t>(….)</w:t>
      </w:r>
    </w:p>
    <w:p w:rsidR="00F72E8D" w:rsidRPr="00F72E8D" w:rsidRDefault="00F72E8D" w:rsidP="00F72E8D">
      <w:pPr>
        <w:spacing w:after="120"/>
        <w:ind w:left="567" w:right="284"/>
        <w:jc w:val="both"/>
        <w:rPr>
          <w:rFonts w:ascii="Montserrat" w:hAnsi="Montserrat" w:cs="Arial"/>
          <w:i/>
          <w:iCs/>
          <w:sz w:val="20"/>
          <w:szCs w:val="20"/>
        </w:rPr>
      </w:pPr>
      <w:r w:rsidRPr="00F72E8D">
        <w:rPr>
          <w:rFonts w:ascii="Montserrat" w:hAnsi="Montserrat" w:cs="Arial"/>
          <w:i/>
          <w:iCs/>
          <w:sz w:val="20"/>
          <w:szCs w:val="20"/>
        </w:rPr>
        <w:t>Ahora bien, no pasa inadvertido para este Instituto la manifestación hecho por el recurrente en el sentido de que a través de otras solicitudes de acceso a la información, el sujeto obligado ha entregado información relacionada con su requerimiento; al respecto, al consultar cada uno de los folios referidos por éste, no fue posible identificar solicitud alguna a</w:t>
      </w:r>
      <w:r w:rsidR="002C1247">
        <w:rPr>
          <w:rFonts w:ascii="Montserrat" w:hAnsi="Montserrat" w:cs="Arial"/>
          <w:i/>
          <w:iCs/>
          <w:sz w:val="20"/>
          <w:szCs w:val="20"/>
        </w:rPr>
        <w:t xml:space="preserve"> través de la cual, la Secretarí</w:t>
      </w:r>
      <w:r w:rsidRPr="00F72E8D">
        <w:rPr>
          <w:rFonts w:ascii="Montserrat" w:hAnsi="Montserrat" w:cs="Arial"/>
          <w:i/>
          <w:iCs/>
          <w:sz w:val="20"/>
          <w:szCs w:val="20"/>
        </w:rPr>
        <w:t>a de Relaciones Exteriores hubiese hecho pública la información materia de la presente solicitud.</w:t>
      </w:r>
    </w:p>
    <w:p w:rsidR="00F72E8D" w:rsidRPr="00FD712B" w:rsidRDefault="00F72E8D" w:rsidP="00F72E8D">
      <w:pPr>
        <w:spacing w:after="120"/>
        <w:ind w:left="567" w:right="284"/>
        <w:jc w:val="both"/>
        <w:rPr>
          <w:rFonts w:ascii="Montserrat" w:hAnsi="Montserrat" w:cs="Arial"/>
          <w:i/>
          <w:iCs/>
          <w:sz w:val="20"/>
          <w:szCs w:val="20"/>
        </w:rPr>
      </w:pPr>
      <w:r w:rsidRPr="00FD712B">
        <w:rPr>
          <w:rFonts w:ascii="Montserrat" w:hAnsi="Montserrat" w:cs="Arial"/>
          <w:i/>
          <w:iCs/>
          <w:sz w:val="20"/>
          <w:szCs w:val="20"/>
        </w:rPr>
        <w:t>Derivado de lo anterior, se tiene que el agravio del particular resu</w:t>
      </w:r>
      <w:r w:rsidR="00FD712B" w:rsidRPr="00FD712B">
        <w:rPr>
          <w:rFonts w:ascii="Montserrat" w:hAnsi="Montserrat" w:cs="Arial"/>
          <w:i/>
          <w:iCs/>
          <w:sz w:val="20"/>
          <w:szCs w:val="20"/>
        </w:rPr>
        <w:t xml:space="preserve">lta </w:t>
      </w:r>
      <w:r w:rsidR="00FD712B" w:rsidRPr="00FD712B">
        <w:rPr>
          <w:rFonts w:ascii="Montserrat" w:hAnsi="Montserrat" w:cs="Arial"/>
          <w:b/>
          <w:i/>
          <w:iCs/>
          <w:sz w:val="20"/>
          <w:szCs w:val="20"/>
        </w:rPr>
        <w:t>parcialmente fundado</w:t>
      </w:r>
      <w:r w:rsidR="00FD712B" w:rsidRPr="00FD712B">
        <w:rPr>
          <w:rFonts w:ascii="Montserrat" w:hAnsi="Montserrat" w:cs="Arial"/>
          <w:i/>
          <w:iCs/>
          <w:sz w:val="20"/>
          <w:szCs w:val="20"/>
        </w:rPr>
        <w:t xml:space="preserve"> ya que,</w:t>
      </w:r>
      <w:r w:rsidRPr="00FD712B">
        <w:rPr>
          <w:rFonts w:ascii="Montserrat" w:hAnsi="Montserrat" w:cs="Arial"/>
          <w:i/>
          <w:iCs/>
          <w:sz w:val="20"/>
          <w:szCs w:val="20"/>
        </w:rPr>
        <w:t xml:space="preserve"> si bien, resulta procedente la clasificación de </w:t>
      </w:r>
      <w:r w:rsidRPr="00FD712B">
        <w:rPr>
          <w:rFonts w:ascii="Montserrat" w:hAnsi="Montserrat" w:cs="Arial"/>
          <w:i/>
          <w:iCs/>
          <w:sz w:val="20"/>
          <w:szCs w:val="20"/>
        </w:rPr>
        <w:lastRenderedPageBreak/>
        <w:t>la información, lo cierto es que, el sujeto obligado no fundamentó ni motivó correctamente dicha clasificación.</w:t>
      </w:r>
    </w:p>
    <w:p w:rsidR="008F72BE" w:rsidRPr="002C1247" w:rsidRDefault="00F72E8D" w:rsidP="00F72E8D">
      <w:pPr>
        <w:spacing w:after="120"/>
        <w:ind w:left="567" w:right="284"/>
        <w:jc w:val="both"/>
        <w:rPr>
          <w:rFonts w:ascii="Montserrat" w:eastAsia="Calibri" w:hAnsi="Montserrat" w:cs="Arial"/>
          <w:bCs/>
        </w:rPr>
      </w:pPr>
      <w:r w:rsidRPr="00F72E8D">
        <w:rPr>
          <w:rFonts w:ascii="Montserrat" w:hAnsi="Montserrat" w:cs="Arial"/>
          <w:i/>
          <w:iCs/>
          <w:sz w:val="20"/>
          <w:szCs w:val="20"/>
        </w:rPr>
        <w:t xml:space="preserve">Por lo anteriormente </w:t>
      </w:r>
      <w:r w:rsidRPr="002C1247">
        <w:rPr>
          <w:rFonts w:ascii="Montserrat" w:hAnsi="Montserrat" w:cs="Arial"/>
          <w:i/>
          <w:iCs/>
          <w:sz w:val="20"/>
          <w:szCs w:val="20"/>
        </w:rPr>
        <w:t>expuesto</w:t>
      </w:r>
      <w:r w:rsidRPr="002C1247">
        <w:rPr>
          <w:rFonts w:ascii="Montserrat" w:hAnsi="Montserrat" w:cs="Arial"/>
          <w:bCs/>
          <w:i/>
          <w:iCs/>
          <w:sz w:val="20"/>
          <w:szCs w:val="20"/>
        </w:rPr>
        <w:t>, este Instituto determina procedente</w:t>
      </w:r>
      <w:r w:rsidRPr="00FD712B">
        <w:rPr>
          <w:rFonts w:ascii="Montserrat" w:hAnsi="Montserrat" w:cs="Arial"/>
          <w:b/>
          <w:bCs/>
          <w:i/>
          <w:iCs/>
          <w:sz w:val="20"/>
          <w:szCs w:val="20"/>
        </w:rPr>
        <w:t xml:space="preserve"> modificar </w:t>
      </w:r>
      <w:r w:rsidRPr="002C1247">
        <w:rPr>
          <w:rFonts w:ascii="Montserrat" w:hAnsi="Montserrat" w:cs="Arial"/>
          <w:bCs/>
          <w:i/>
          <w:iCs/>
          <w:sz w:val="20"/>
          <w:szCs w:val="20"/>
        </w:rPr>
        <w:t>la respuesta de la Secretar</w:t>
      </w:r>
      <w:r w:rsidR="002C1247">
        <w:rPr>
          <w:rFonts w:ascii="Montserrat" w:hAnsi="Montserrat" w:cs="Arial"/>
          <w:bCs/>
          <w:i/>
          <w:iCs/>
          <w:sz w:val="20"/>
          <w:szCs w:val="20"/>
        </w:rPr>
        <w:t>í</w:t>
      </w:r>
      <w:r w:rsidRPr="002C1247">
        <w:rPr>
          <w:rFonts w:ascii="Montserrat" w:hAnsi="Montserrat" w:cs="Arial"/>
          <w:bCs/>
          <w:i/>
          <w:iCs/>
          <w:sz w:val="20"/>
          <w:szCs w:val="20"/>
        </w:rPr>
        <w:t>a de Relaciones Exteriores y se le</w:t>
      </w:r>
      <w:r w:rsidRPr="00FD712B">
        <w:rPr>
          <w:rFonts w:ascii="Montserrat" w:hAnsi="Montserrat" w:cs="Arial"/>
          <w:b/>
          <w:bCs/>
          <w:i/>
          <w:iCs/>
          <w:sz w:val="20"/>
          <w:szCs w:val="20"/>
        </w:rPr>
        <w:t xml:space="preserve"> instruye </w:t>
      </w:r>
      <w:r w:rsidRPr="002C1247">
        <w:rPr>
          <w:rFonts w:ascii="Montserrat" w:hAnsi="Montserrat" w:cs="Arial"/>
          <w:bCs/>
          <w:i/>
          <w:iCs/>
          <w:sz w:val="20"/>
          <w:szCs w:val="20"/>
        </w:rPr>
        <w:t>a que emita a través de su Comité de Transparencia, una resolución en la que clasifique como reservada</w:t>
      </w:r>
      <w:r w:rsidRPr="00FD712B">
        <w:rPr>
          <w:rFonts w:ascii="Montserrat" w:hAnsi="Montserrat" w:cs="Arial"/>
          <w:b/>
          <w:bCs/>
          <w:i/>
          <w:iCs/>
          <w:sz w:val="20"/>
          <w:szCs w:val="20"/>
        </w:rPr>
        <w:t xml:space="preserve"> la información contenida en la nota diplomática número 30·28143 así como de su anexo, </w:t>
      </w:r>
      <w:r w:rsidRPr="002C1247">
        <w:rPr>
          <w:rFonts w:ascii="Montserrat" w:hAnsi="Montserrat" w:cs="Arial"/>
          <w:bCs/>
          <w:i/>
          <w:iCs/>
          <w:sz w:val="20"/>
          <w:szCs w:val="20"/>
        </w:rPr>
        <w:t>de conformidad con lo previsto en el artículo 110, fracción II, de la Ley Federal de Transparencia y Acceso a la Información Pública</w:t>
      </w:r>
      <w:r w:rsidR="00FD712B" w:rsidRPr="002C1247">
        <w:rPr>
          <w:rFonts w:ascii="Montserrat" w:hAnsi="Montserrat" w:cs="Arial"/>
          <w:bCs/>
          <w:i/>
          <w:iCs/>
          <w:sz w:val="20"/>
          <w:szCs w:val="20"/>
        </w:rPr>
        <w:t>,</w:t>
      </w:r>
      <w:r w:rsidRPr="002C1247">
        <w:rPr>
          <w:rFonts w:ascii="Montserrat" w:hAnsi="Montserrat" w:cs="Arial"/>
          <w:bCs/>
          <w:i/>
          <w:iCs/>
          <w:sz w:val="20"/>
          <w:szCs w:val="20"/>
        </w:rPr>
        <w:t xml:space="preserve"> por un periodo de</w:t>
      </w:r>
      <w:r w:rsidRPr="00FD712B">
        <w:rPr>
          <w:rFonts w:ascii="Montserrat" w:hAnsi="Montserrat" w:cs="Arial"/>
          <w:b/>
          <w:bCs/>
          <w:i/>
          <w:iCs/>
          <w:sz w:val="20"/>
          <w:szCs w:val="20"/>
        </w:rPr>
        <w:t xml:space="preserve"> cinco años</w:t>
      </w:r>
      <w:r w:rsidRPr="002C1247">
        <w:rPr>
          <w:rFonts w:ascii="Montserrat" w:hAnsi="Montserrat" w:cs="Arial"/>
          <w:bCs/>
          <w:i/>
          <w:iCs/>
          <w:sz w:val="20"/>
          <w:szCs w:val="20"/>
        </w:rPr>
        <w:t>, y proporcione la misma al particular</w:t>
      </w:r>
      <w:r w:rsidR="008F72BE" w:rsidRPr="002C1247">
        <w:rPr>
          <w:rFonts w:ascii="Montserrat" w:hAnsi="Montserrat"/>
          <w:i/>
          <w:iCs/>
          <w:sz w:val="20"/>
          <w:szCs w:val="20"/>
        </w:rPr>
        <w:t>”</w:t>
      </w:r>
      <w:r w:rsidR="000735B3" w:rsidRPr="002C1247">
        <w:rPr>
          <w:rFonts w:ascii="Montserrat" w:hAnsi="Montserrat"/>
          <w:i/>
          <w:iCs/>
          <w:sz w:val="20"/>
          <w:szCs w:val="20"/>
        </w:rPr>
        <w:t>. (S</w:t>
      </w:r>
      <w:r w:rsidR="008F72BE" w:rsidRPr="002C1247">
        <w:rPr>
          <w:rFonts w:ascii="Montserrat" w:hAnsi="Montserrat"/>
          <w:i/>
          <w:iCs/>
          <w:sz w:val="20"/>
          <w:szCs w:val="20"/>
        </w:rPr>
        <w:t>ic)</w:t>
      </w:r>
    </w:p>
    <w:p w:rsidR="008F72BE" w:rsidRPr="002C1247" w:rsidRDefault="008F72BE" w:rsidP="008F72BE">
      <w:pPr>
        <w:jc w:val="both"/>
        <w:rPr>
          <w:rFonts w:ascii="Montserrat" w:eastAsia="Calibri" w:hAnsi="Montserrat" w:cs="Arial"/>
          <w:bCs/>
        </w:rPr>
      </w:pPr>
    </w:p>
    <w:p w:rsidR="00920E80" w:rsidRPr="002C1247" w:rsidRDefault="00920E80" w:rsidP="00920E80">
      <w:pPr>
        <w:pStyle w:val="Prrafodelista"/>
        <w:numPr>
          <w:ilvl w:val="0"/>
          <w:numId w:val="1"/>
        </w:numPr>
        <w:spacing w:after="120"/>
        <w:ind w:left="709"/>
        <w:jc w:val="both"/>
        <w:rPr>
          <w:rFonts w:ascii="Montserrat" w:eastAsia="Calibri" w:hAnsi="Montserrat" w:cs="Arial"/>
          <w:b/>
          <w:i/>
          <w:u w:val="single"/>
        </w:rPr>
      </w:pPr>
      <w:r w:rsidRPr="002C1247">
        <w:rPr>
          <w:rFonts w:ascii="Montserrat" w:eastAsia="Calibri" w:hAnsi="Montserrat" w:cs="Arial"/>
          <w:b/>
          <w:i/>
          <w:u w:val="single"/>
        </w:rPr>
        <w:t>RESPUESTA</w:t>
      </w:r>
      <w:r w:rsidR="007F3F33">
        <w:rPr>
          <w:rFonts w:ascii="Montserrat" w:eastAsia="Calibri" w:hAnsi="Montserrat" w:cs="Arial"/>
          <w:b/>
          <w:i/>
          <w:u w:val="single"/>
        </w:rPr>
        <w:t>S</w:t>
      </w:r>
      <w:r w:rsidRPr="002C1247">
        <w:rPr>
          <w:rFonts w:ascii="Montserrat" w:eastAsia="Calibri" w:hAnsi="Montserrat" w:cs="Arial"/>
          <w:b/>
          <w:i/>
          <w:u w:val="single"/>
        </w:rPr>
        <w:t xml:space="preserve"> DE</w:t>
      </w:r>
      <w:r w:rsidR="00F72238">
        <w:rPr>
          <w:rFonts w:ascii="Montserrat" w:eastAsia="Calibri" w:hAnsi="Montserrat" w:cs="Arial"/>
          <w:b/>
          <w:i/>
          <w:u w:val="single"/>
        </w:rPr>
        <w:t xml:space="preserve"> </w:t>
      </w:r>
      <w:r w:rsidRPr="002C1247">
        <w:rPr>
          <w:rFonts w:ascii="Montserrat" w:eastAsia="Calibri" w:hAnsi="Montserrat" w:cs="Arial"/>
          <w:b/>
          <w:i/>
          <w:u w:val="single"/>
        </w:rPr>
        <w:t>L</w:t>
      </w:r>
      <w:r w:rsidR="00F72238">
        <w:rPr>
          <w:rFonts w:ascii="Montserrat" w:eastAsia="Calibri" w:hAnsi="Montserrat" w:cs="Arial"/>
          <w:b/>
          <w:i/>
          <w:u w:val="single"/>
        </w:rPr>
        <w:t>AS</w:t>
      </w:r>
      <w:r w:rsidRPr="002C1247">
        <w:rPr>
          <w:rFonts w:ascii="Montserrat" w:eastAsia="Calibri" w:hAnsi="Montserrat" w:cs="Arial"/>
          <w:b/>
          <w:i/>
          <w:u w:val="single"/>
        </w:rPr>
        <w:t xml:space="preserve"> ÁREA</w:t>
      </w:r>
      <w:r w:rsidR="00F72238">
        <w:rPr>
          <w:rFonts w:ascii="Montserrat" w:eastAsia="Calibri" w:hAnsi="Montserrat" w:cs="Arial"/>
          <w:b/>
          <w:i/>
          <w:u w:val="single"/>
        </w:rPr>
        <w:t>S</w:t>
      </w:r>
      <w:r w:rsidRPr="002C1247">
        <w:rPr>
          <w:rFonts w:ascii="Montserrat" w:eastAsia="Calibri" w:hAnsi="Montserrat" w:cs="Arial"/>
          <w:b/>
          <w:i/>
          <w:u w:val="single"/>
        </w:rPr>
        <w:t xml:space="preserve"> EN CUMPLIMIENTO A LA RESOLUCIÓN DEL INAI</w:t>
      </w:r>
    </w:p>
    <w:p w:rsidR="00920E80" w:rsidRPr="002C1247" w:rsidRDefault="00920E80" w:rsidP="00920E80">
      <w:pPr>
        <w:jc w:val="both"/>
        <w:rPr>
          <w:rFonts w:ascii="Montserrat" w:hAnsi="Montserrat" w:cs="Arial"/>
        </w:rPr>
      </w:pPr>
      <w:r w:rsidRPr="002C1247">
        <w:rPr>
          <w:rFonts w:ascii="Montserrat" w:hAnsi="Montserrat" w:cs="Arial"/>
        </w:rPr>
        <w:t xml:space="preserve">Con fecha </w:t>
      </w:r>
      <w:r w:rsidR="00B43D05" w:rsidRPr="002C1247">
        <w:rPr>
          <w:rFonts w:ascii="Montserrat" w:hAnsi="Montserrat" w:cs="Arial"/>
        </w:rPr>
        <w:t>3</w:t>
      </w:r>
      <w:r w:rsidR="00F72E8D" w:rsidRPr="002C1247">
        <w:rPr>
          <w:rFonts w:ascii="Montserrat" w:hAnsi="Montserrat" w:cs="Arial"/>
        </w:rPr>
        <w:t>0</w:t>
      </w:r>
      <w:r w:rsidRPr="002C1247">
        <w:rPr>
          <w:rFonts w:ascii="Montserrat" w:hAnsi="Montserrat" w:cs="Arial"/>
        </w:rPr>
        <w:t xml:space="preserve"> de </w:t>
      </w:r>
      <w:r w:rsidR="00B43D05" w:rsidRPr="002C1247">
        <w:rPr>
          <w:rFonts w:ascii="Montserrat" w:hAnsi="Montserrat" w:cs="Arial"/>
        </w:rPr>
        <w:t>mayo</w:t>
      </w:r>
      <w:r w:rsidRPr="002C1247">
        <w:rPr>
          <w:rFonts w:ascii="Montserrat" w:hAnsi="Montserrat" w:cs="Arial"/>
        </w:rPr>
        <w:t xml:space="preserve"> de 2019, a través de correo electrónico No. </w:t>
      </w:r>
      <w:r w:rsidR="00F72E8D" w:rsidRPr="002C1247">
        <w:rPr>
          <w:rFonts w:ascii="Montserrat" w:hAnsi="Montserrat" w:cs="Arial"/>
        </w:rPr>
        <w:t>AMO00462</w:t>
      </w:r>
      <w:r w:rsidR="00B43D05" w:rsidRPr="002C1247">
        <w:rPr>
          <w:rFonts w:ascii="Montserrat" w:hAnsi="Montserrat" w:cs="Arial"/>
        </w:rPr>
        <w:t xml:space="preserve"> </w:t>
      </w:r>
      <w:r w:rsidRPr="002C1247">
        <w:rPr>
          <w:rFonts w:ascii="Montserrat" w:hAnsi="Montserrat" w:cs="Arial"/>
        </w:rPr>
        <w:t xml:space="preserve">la </w:t>
      </w:r>
      <w:r w:rsidR="00F72E8D" w:rsidRPr="002C1247">
        <w:rPr>
          <w:rFonts w:ascii="Montserrat" w:eastAsia="Calibri" w:hAnsi="Montserrat" w:cs="Arial"/>
          <w:b/>
          <w:bCs/>
        </w:rPr>
        <w:t>DGAMO</w:t>
      </w:r>
      <w:r w:rsidRPr="002C1247">
        <w:rPr>
          <w:rFonts w:ascii="Montserrat" w:eastAsia="Calibri" w:hAnsi="Montserrat" w:cs="Arial"/>
          <w:bCs/>
        </w:rPr>
        <w:t xml:space="preserve"> </w:t>
      </w:r>
      <w:r w:rsidRPr="002C1247">
        <w:rPr>
          <w:rFonts w:ascii="Montserrat" w:hAnsi="Montserrat" w:cs="Arial"/>
        </w:rPr>
        <w:t>manifestó lo siguiente:</w:t>
      </w:r>
    </w:p>
    <w:p w:rsidR="00920E80" w:rsidRPr="002C1247" w:rsidRDefault="00920E80" w:rsidP="00920E80">
      <w:pPr>
        <w:jc w:val="both"/>
        <w:rPr>
          <w:rFonts w:ascii="Montserrat" w:eastAsia="Calibri" w:hAnsi="Montserrat" w:cs="Arial"/>
          <w:bCs/>
        </w:rPr>
      </w:pPr>
    </w:p>
    <w:p w:rsidR="00F72E8D" w:rsidRPr="00F72E8D" w:rsidRDefault="00920E80" w:rsidP="002C1247">
      <w:pPr>
        <w:pStyle w:val="Sinespaciado"/>
        <w:spacing w:after="120"/>
        <w:ind w:left="567" w:right="284"/>
        <w:jc w:val="both"/>
        <w:rPr>
          <w:rFonts w:ascii="Montserrat" w:hAnsi="Montserrat"/>
          <w:i/>
          <w:sz w:val="20"/>
          <w:szCs w:val="20"/>
        </w:rPr>
      </w:pPr>
      <w:r w:rsidRPr="002C1247">
        <w:rPr>
          <w:rFonts w:ascii="Montserrat" w:hAnsi="Montserrat"/>
          <w:i/>
          <w:sz w:val="20"/>
          <w:szCs w:val="20"/>
        </w:rPr>
        <w:t>“</w:t>
      </w:r>
      <w:r w:rsidR="00F72E8D" w:rsidRPr="002C1247">
        <w:rPr>
          <w:rFonts w:ascii="Montserrat" w:hAnsi="Montserrat"/>
          <w:i/>
          <w:sz w:val="20"/>
          <w:szCs w:val="20"/>
        </w:rPr>
        <w:t>Al respecto, la Dirección General para África y Medio Oriente declara formalmente como reservada por un período de cinco año</w:t>
      </w:r>
      <w:r w:rsidR="00F72E8D" w:rsidRPr="00F72E8D">
        <w:rPr>
          <w:rFonts w:ascii="Montserrat" w:hAnsi="Montserrat"/>
          <w:i/>
          <w:sz w:val="20"/>
          <w:szCs w:val="20"/>
        </w:rPr>
        <w:t xml:space="preserve">s la nota diplomática número 30-28143, así como su anexo, expedidos por la Embajada de Kazajstán en México con fecha 18 de marzo de 2017, de conformidad con lo previsto en el Artículo 110, Fracción II, de la Ley Federal de Transparencia y Acceso a la Información Pública (LFTAIP).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Para lo anterior, a efecto de atender los considerandos de la resolución del INAI se modifica el fundamento de la clasificación de la información requerida, de conformidad con la siguiente 1) motivación de la clasificación y 2) prueba de daño respectiva. </w:t>
      </w:r>
    </w:p>
    <w:p w:rsidR="00F72E8D" w:rsidRPr="00F72E8D" w:rsidRDefault="00F72E8D" w:rsidP="002C1247">
      <w:pPr>
        <w:pStyle w:val="Sinespaciado"/>
        <w:numPr>
          <w:ilvl w:val="0"/>
          <w:numId w:val="27"/>
        </w:numPr>
        <w:spacing w:after="120"/>
        <w:ind w:left="993" w:right="284" w:hanging="426"/>
        <w:jc w:val="both"/>
        <w:rPr>
          <w:rFonts w:ascii="Montserrat" w:hAnsi="Montserrat"/>
          <w:i/>
          <w:sz w:val="20"/>
          <w:szCs w:val="20"/>
        </w:rPr>
      </w:pPr>
      <w:r w:rsidRPr="00F72E8D">
        <w:rPr>
          <w:rFonts w:ascii="Montserrat" w:hAnsi="Montserrat"/>
          <w:b/>
          <w:bCs/>
          <w:i/>
          <w:sz w:val="20"/>
          <w:szCs w:val="20"/>
        </w:rPr>
        <w:t xml:space="preserve">Motivación de la clasificación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Sobre el particular, se informa a esa Unidad de Transparencia que la información que se reserva consiste en la Nota Diplomática 30-28/43 y su anexo, emitidos el 18 de marzo de 2017 por la Embajada de Kazajstán en México dirigida a la Dirección General para África y Medio Oriente. El contenido de la Nota Diplomática en cuestión hace referencia a información </w:t>
      </w:r>
      <w:r w:rsidRPr="00F72E8D">
        <w:rPr>
          <w:rFonts w:ascii="Montserrat" w:hAnsi="Montserrat"/>
          <w:i/>
          <w:sz w:val="20"/>
          <w:szCs w:val="20"/>
        </w:rPr>
        <w:lastRenderedPageBreak/>
        <w:t>sobre la Exposición Internacional Astaná 2017 y la participación de México en ese evento.</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La citada nota y su anexo fueron remitidas por la Embajada de Kazajstán a la Dirección General para África y Medio Oriente como parte de la práctica internacional diplomática del intercambio de notas diplomáticas entre Estados y otros sujetos de Derecho Internacional, cuya finalidad es: a) compartir información, b) inicio/continuación/conclusión de gestiones, e c) interposición de buenos oficios.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En todos los casos, el intercambio de notas se realiza con la expectativa de un tratamiento de la información bajo condiciones de confidencialidad, discreción y sigilo, por lo que la entrega o filtración de esa información sin consentimiento y/o autorización de la parte emisora genera una pérdida de confianza en la conducción de las relaciones entre los dos países, lo cual merma la consecución de los objetivos de ampliar la presencia política, incrementar los flujos económicos y ampliar la cooperación en materias de interés mutuo entre dos Estados.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A este respecto, el Capítulo II de la LFTAIP (“De la Información Reservada”) dispone en su Artículo 110, que… “como información reservada podrá clasificarse aquella cuya publicación:</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II. Pueda menoscabar la conducción de las negociaciones y relaciones internacionales”;</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En el caso particular de la relación de México con la República de Kazajstán, en los años recientes se ha logrado sentar las primeras bases para fortalecer los vínculos políticos, económicos y de cooperación con ese país de Asia Central, región del mundo donde México tiene una presencia escasa.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En ese sentido, existe un interés particular en mantener una interlocución abierta y libre de obstáculos, ya que:</w:t>
      </w:r>
    </w:p>
    <w:p w:rsidR="00F72E8D" w:rsidRPr="00F72E8D" w:rsidRDefault="00F72E8D" w:rsidP="00B55CD9">
      <w:pPr>
        <w:pStyle w:val="Sinespaciado"/>
        <w:numPr>
          <w:ilvl w:val="0"/>
          <w:numId w:val="25"/>
        </w:numPr>
        <w:spacing w:after="120"/>
        <w:ind w:left="993" w:right="284" w:hanging="426"/>
        <w:jc w:val="both"/>
        <w:rPr>
          <w:rFonts w:ascii="Montserrat" w:hAnsi="Montserrat"/>
          <w:i/>
          <w:sz w:val="20"/>
          <w:szCs w:val="20"/>
        </w:rPr>
      </w:pPr>
      <w:r w:rsidRPr="00F72E8D">
        <w:rPr>
          <w:rFonts w:ascii="Montserrat" w:hAnsi="Montserrat"/>
          <w:i/>
          <w:sz w:val="20"/>
          <w:szCs w:val="20"/>
        </w:rPr>
        <w:t xml:space="preserve">La República de Kazajstán es el país más grande de Asia Central, con una influencia política considerable en su entorno regional y con vínculos importantes con socios de gran importancia para México a nivel global, como lo son China y Rusia.  </w:t>
      </w:r>
    </w:p>
    <w:p w:rsidR="00F72E8D" w:rsidRPr="00F72E8D" w:rsidRDefault="00F72E8D" w:rsidP="00B55CD9">
      <w:pPr>
        <w:pStyle w:val="Sinespaciado"/>
        <w:numPr>
          <w:ilvl w:val="0"/>
          <w:numId w:val="25"/>
        </w:numPr>
        <w:spacing w:after="120"/>
        <w:ind w:left="993" w:right="284" w:hanging="426"/>
        <w:jc w:val="both"/>
        <w:rPr>
          <w:rFonts w:ascii="Montserrat" w:hAnsi="Montserrat"/>
          <w:i/>
          <w:sz w:val="20"/>
          <w:szCs w:val="20"/>
        </w:rPr>
      </w:pPr>
      <w:r w:rsidRPr="00F72E8D">
        <w:rPr>
          <w:rFonts w:ascii="Montserrat" w:hAnsi="Montserrat"/>
          <w:i/>
          <w:sz w:val="20"/>
          <w:szCs w:val="20"/>
        </w:rPr>
        <w:lastRenderedPageBreak/>
        <w:t xml:space="preserve">La República de Kazajstán es el país con el mayor Producto Interno Bruto y el mayor Ingreso Medio per Cápita de la región de Asia Central, con el cual México tiene interés en aumentar los flujos comerciales y de inversión bilateral, incluyendo una posible participación de ese país en proyectos de inversión en México, en especial en proyectos prioritarios en infraestructura. </w:t>
      </w:r>
    </w:p>
    <w:p w:rsidR="00F72E8D" w:rsidRPr="00F72E8D" w:rsidRDefault="00F72E8D" w:rsidP="00B55CD9">
      <w:pPr>
        <w:pStyle w:val="Sinespaciado"/>
        <w:numPr>
          <w:ilvl w:val="0"/>
          <w:numId w:val="25"/>
        </w:numPr>
        <w:spacing w:after="120"/>
        <w:ind w:left="993" w:right="284" w:hanging="426"/>
        <w:jc w:val="both"/>
        <w:rPr>
          <w:rFonts w:ascii="Montserrat" w:hAnsi="Montserrat"/>
          <w:i/>
          <w:sz w:val="20"/>
          <w:szCs w:val="20"/>
        </w:rPr>
      </w:pPr>
      <w:r w:rsidRPr="00F72E8D">
        <w:rPr>
          <w:rFonts w:ascii="Montserrat" w:hAnsi="Montserrat"/>
          <w:i/>
          <w:sz w:val="20"/>
          <w:szCs w:val="20"/>
        </w:rPr>
        <w:t xml:space="preserve">El Gobierno de la República de Kazajstán ha señalado su interés en aumentar la cooperación con México en áreas sensibles, como lo son los temas de energía y desarme nuclear; además del apoyo que el Gobierno de México solicita de forma periódica para candidaturas prioritarias de México en organismos internacionales.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A pesar de esos intereses manifiestos, la relación bilateral aún está en una etapa incipiente y los pocos avances logrados se han visto dificultados por restricciones presupuestales que no han permitido hasta ahora el compromiso adquirido en torno a la apertura de una Embajada residente de México en Kazajstán, sobre la base del principio de reciprocidad, aun cuando Kazajstán abrió formalmente una Embajada en nuestro país en 2016.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La pérdida de confianza, derivada de una entrega de información a terceros – información compartida por la parte kazaja bajo la expectativa de confidencialidad – inevitablemente afectará los progresos iniciales en esa relación bilateral, la cual se encuentra sujeta a vulnerabilidades, con el riesgo de regresión de los contactos.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La entrega de la información solicitada no solamente no generaría condiciones propicias para el avance en las iniciativas en curso entre México y Kazajstán, sino que, por el contrario, conduciría a un clima de desconfianza, en detrimento de los intereses de política exterior del Estado mexicano y, en particular, del interés de México en aumentar su presencia en Asia Central.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 xml:space="preserve">Tomando en consideración lo antes expuesto, la reserva de la información por cinco años responde a toda luz al interés del Gobierno de México en consolidar los lazos bilaterales con la República de Kazajstán, concediendo un período adecuado que permita, a mediano plazo, estrechar los </w:t>
      </w:r>
      <w:r w:rsidRPr="00F72E8D">
        <w:rPr>
          <w:rFonts w:ascii="Montserrat" w:hAnsi="Montserrat"/>
          <w:i/>
          <w:sz w:val="20"/>
          <w:szCs w:val="20"/>
        </w:rPr>
        <w:lastRenderedPageBreak/>
        <w:t xml:space="preserve">contactos políticos, económicos y de cooperación entre ambos países, sin los perjuicios que crearía la entrega a terceros de información que fue proporcionada al Gobierno de México con la expectativa de un tratamiento basado en la confianza mutua, el sigilo y la discreción. </w:t>
      </w:r>
    </w:p>
    <w:p w:rsidR="00F72E8D" w:rsidRPr="00F72E8D" w:rsidRDefault="00F72E8D" w:rsidP="002C1247">
      <w:pPr>
        <w:pStyle w:val="Sinespaciado"/>
        <w:numPr>
          <w:ilvl w:val="0"/>
          <w:numId w:val="27"/>
        </w:numPr>
        <w:spacing w:after="120"/>
        <w:ind w:left="993" w:right="284" w:hanging="426"/>
        <w:jc w:val="both"/>
        <w:rPr>
          <w:rFonts w:ascii="Montserrat" w:hAnsi="Montserrat"/>
          <w:b/>
          <w:bCs/>
          <w:i/>
          <w:sz w:val="20"/>
          <w:szCs w:val="20"/>
        </w:rPr>
      </w:pPr>
      <w:r w:rsidRPr="00F72E8D">
        <w:rPr>
          <w:rFonts w:ascii="Montserrat" w:hAnsi="Montserrat"/>
          <w:b/>
          <w:bCs/>
          <w:i/>
          <w:sz w:val="20"/>
          <w:szCs w:val="20"/>
        </w:rPr>
        <w:t xml:space="preserve">Prueba del daño </w:t>
      </w:r>
    </w:p>
    <w:p w:rsidR="00F72E8D" w:rsidRPr="00F72E8D" w:rsidRDefault="00F72E8D" w:rsidP="002C1247">
      <w:pPr>
        <w:pStyle w:val="Sinespaciado"/>
        <w:spacing w:after="120"/>
        <w:ind w:left="567" w:right="284"/>
        <w:jc w:val="both"/>
        <w:rPr>
          <w:rFonts w:ascii="Montserrat" w:hAnsi="Montserrat"/>
          <w:i/>
          <w:sz w:val="20"/>
          <w:szCs w:val="20"/>
        </w:rPr>
      </w:pPr>
      <w:r w:rsidRPr="00F72E8D">
        <w:rPr>
          <w:rFonts w:ascii="Montserrat" w:hAnsi="Montserrat"/>
          <w:i/>
          <w:sz w:val="20"/>
          <w:szCs w:val="20"/>
        </w:rPr>
        <w:t>Proporcionar la información solicitada puede ocasionar un daño presente, probable y específico a la relación bilateral, conforme a las siguientes consideraciones:</w:t>
      </w:r>
    </w:p>
    <w:p w:rsidR="00F72E8D" w:rsidRPr="00F72E8D" w:rsidRDefault="00F72E8D" w:rsidP="00B55CD9">
      <w:pPr>
        <w:pStyle w:val="Sinespaciado"/>
        <w:numPr>
          <w:ilvl w:val="0"/>
          <w:numId w:val="26"/>
        </w:numPr>
        <w:spacing w:after="120"/>
        <w:ind w:left="993" w:right="284" w:hanging="426"/>
        <w:jc w:val="both"/>
        <w:rPr>
          <w:rFonts w:ascii="Montserrat" w:hAnsi="Montserrat"/>
          <w:i/>
          <w:sz w:val="20"/>
          <w:szCs w:val="20"/>
        </w:rPr>
      </w:pPr>
      <w:r w:rsidRPr="00F72E8D">
        <w:rPr>
          <w:rFonts w:ascii="Montserrat" w:hAnsi="Montserrat"/>
          <w:b/>
          <w:bCs/>
          <w:i/>
          <w:sz w:val="20"/>
          <w:szCs w:val="20"/>
        </w:rPr>
        <w:t>Daño presente:</w:t>
      </w:r>
      <w:r w:rsidRPr="00F72E8D">
        <w:rPr>
          <w:rFonts w:ascii="Montserrat" w:hAnsi="Montserrat"/>
          <w:i/>
          <w:sz w:val="20"/>
          <w:szCs w:val="20"/>
        </w:rPr>
        <w:t xml:space="preserve"> Proporcionar la información solicitada por el requirente genera una pérdida de confianza que afectará las negociaciones presentes y futuras que los gobiernos de México y Kazajstán mantienen sobre instrumentos jurídicos (actualmente se encuentran en negociación tres instrumentos jurídicos), proyectos conjuntos dentro y fuera de organismos internaciones, candidaturas en organizaciones internacionales, consideraciones relativas a comercio e inversión, y la designación actual y futura de agentes diplomáticos/consulares. </w:t>
      </w:r>
    </w:p>
    <w:p w:rsidR="00F72E8D" w:rsidRPr="00F72E8D" w:rsidRDefault="00F72E8D" w:rsidP="00B55CD9">
      <w:pPr>
        <w:pStyle w:val="Sinespaciado"/>
        <w:numPr>
          <w:ilvl w:val="0"/>
          <w:numId w:val="26"/>
        </w:numPr>
        <w:spacing w:after="120"/>
        <w:ind w:left="993" w:right="284" w:hanging="426"/>
        <w:jc w:val="both"/>
        <w:rPr>
          <w:rFonts w:ascii="Montserrat" w:hAnsi="Montserrat"/>
          <w:i/>
          <w:sz w:val="20"/>
          <w:szCs w:val="20"/>
        </w:rPr>
      </w:pPr>
      <w:r w:rsidRPr="00F72E8D">
        <w:rPr>
          <w:rFonts w:ascii="Montserrat" w:hAnsi="Montserrat"/>
          <w:b/>
          <w:bCs/>
          <w:i/>
          <w:sz w:val="20"/>
          <w:szCs w:val="20"/>
        </w:rPr>
        <w:t>Daño probable:</w:t>
      </w:r>
      <w:r w:rsidRPr="00F72E8D">
        <w:rPr>
          <w:rFonts w:ascii="Montserrat" w:hAnsi="Montserrat"/>
          <w:i/>
          <w:sz w:val="20"/>
          <w:szCs w:val="20"/>
        </w:rPr>
        <w:t xml:space="preserve"> La eventual difusión por cualquier medio de los documentos solicitados podría afectar los avances en las acciones de política exterior de México en relación con la República de Kazajstán, así como afectar negativamente la imagen de México en toda la región de Asia Central. </w:t>
      </w:r>
    </w:p>
    <w:p w:rsidR="00F72E8D" w:rsidRPr="00F72E8D" w:rsidRDefault="00F72E8D" w:rsidP="00B55CD9">
      <w:pPr>
        <w:pStyle w:val="Sinespaciado"/>
        <w:numPr>
          <w:ilvl w:val="0"/>
          <w:numId w:val="26"/>
        </w:numPr>
        <w:spacing w:after="120"/>
        <w:ind w:left="993" w:right="284" w:hanging="426"/>
        <w:jc w:val="both"/>
        <w:rPr>
          <w:rFonts w:ascii="Montserrat" w:hAnsi="Montserrat"/>
          <w:i/>
          <w:sz w:val="20"/>
          <w:szCs w:val="20"/>
        </w:rPr>
      </w:pPr>
      <w:r w:rsidRPr="00F72E8D">
        <w:rPr>
          <w:rFonts w:ascii="Montserrat" w:hAnsi="Montserrat"/>
          <w:b/>
          <w:bCs/>
          <w:i/>
          <w:sz w:val="20"/>
          <w:szCs w:val="20"/>
        </w:rPr>
        <w:t>Daño específico:</w:t>
      </w:r>
      <w:r w:rsidRPr="00F72E8D">
        <w:rPr>
          <w:rFonts w:ascii="Montserrat" w:hAnsi="Montserrat"/>
          <w:i/>
          <w:sz w:val="20"/>
          <w:szCs w:val="20"/>
        </w:rPr>
        <w:t xml:space="preserve"> La posible divulgación de la información podría ser utilizada de manera contraria a los intereses del Gobierno de México, con consecuencias negativas para el diálogo político y la confianza entre las partes - más aún cuando esa relación se encuentra en las primeras etapas de construcción y, por lo tanto, es más propensa a daños que otras relaciones más consolidadas –, causando un daño irreparable a las relaciones diplomáticas entre ambos países.</w:t>
      </w:r>
    </w:p>
    <w:p w:rsidR="00920E80" w:rsidRPr="00B55CD9" w:rsidRDefault="00F72E8D" w:rsidP="002C1247">
      <w:pPr>
        <w:pStyle w:val="Sinespaciado"/>
        <w:spacing w:after="120"/>
        <w:ind w:left="567" w:right="284"/>
        <w:jc w:val="both"/>
        <w:rPr>
          <w:rFonts w:ascii="Montserrat" w:eastAsia="Calibri" w:hAnsi="Montserrat" w:cs="Arial"/>
          <w:bCs/>
          <w:i/>
          <w:sz w:val="20"/>
          <w:szCs w:val="20"/>
        </w:rPr>
      </w:pPr>
      <w:r w:rsidRPr="00F72E8D">
        <w:rPr>
          <w:rFonts w:ascii="Montserrat" w:hAnsi="Montserrat"/>
          <w:i/>
          <w:sz w:val="20"/>
          <w:szCs w:val="20"/>
        </w:rPr>
        <w:t xml:space="preserve">De esta forma, el riesgo de perjuicio para el Gobierno de México, en el contexto de la relación bilateral con Kazajstán, </w:t>
      </w:r>
      <w:r w:rsidRPr="00B55CD9">
        <w:rPr>
          <w:rFonts w:ascii="Montserrat" w:hAnsi="Montserrat"/>
          <w:i/>
          <w:sz w:val="20"/>
          <w:szCs w:val="20"/>
        </w:rPr>
        <w:t>justifica la reserva por cinco años de la citada nota diplomática y su respectivo anexo</w:t>
      </w:r>
      <w:r w:rsidR="00B96610" w:rsidRPr="00B55CD9">
        <w:rPr>
          <w:rFonts w:ascii="Montserrat" w:hAnsi="Montserrat"/>
          <w:i/>
          <w:sz w:val="20"/>
          <w:szCs w:val="20"/>
          <w:lang w:val="es-ES_tradnl"/>
        </w:rPr>
        <w:t>.</w:t>
      </w:r>
      <w:r w:rsidR="00920E80" w:rsidRPr="00B55CD9">
        <w:rPr>
          <w:rFonts w:ascii="Montserrat" w:hAnsi="Montserrat"/>
          <w:i/>
          <w:sz w:val="20"/>
          <w:szCs w:val="20"/>
        </w:rPr>
        <w:t>” (Sic)</w:t>
      </w:r>
    </w:p>
    <w:p w:rsidR="00920E80" w:rsidRDefault="00920E80" w:rsidP="00920E80">
      <w:pPr>
        <w:jc w:val="both"/>
        <w:rPr>
          <w:rFonts w:ascii="Montserrat" w:eastAsia="Calibri" w:hAnsi="Montserrat" w:cs="Arial"/>
          <w:bCs/>
        </w:rPr>
      </w:pPr>
    </w:p>
    <w:p w:rsidR="00F72238" w:rsidRDefault="00F72238" w:rsidP="00F72238">
      <w:pPr>
        <w:jc w:val="both"/>
        <w:rPr>
          <w:rFonts w:ascii="Montserrat" w:hAnsi="Montserrat" w:cs="Arial"/>
        </w:rPr>
      </w:pPr>
      <w:r>
        <w:rPr>
          <w:rFonts w:ascii="Montserrat" w:hAnsi="Montserrat" w:cs="Arial"/>
        </w:rPr>
        <w:t xml:space="preserve">Con fecha 30 de mayo de 2019, a través de correo electrónico No. </w:t>
      </w:r>
      <w:r w:rsidRPr="00F72238">
        <w:rPr>
          <w:rFonts w:ascii="Montserrat" w:hAnsi="Montserrat" w:cs="Arial"/>
        </w:rPr>
        <w:t xml:space="preserve">SSRE-0996 </w:t>
      </w:r>
      <w:r>
        <w:rPr>
          <w:rFonts w:ascii="Montserrat" w:hAnsi="Montserrat" w:cs="Arial"/>
        </w:rPr>
        <w:t xml:space="preserve">la </w:t>
      </w:r>
      <w:r>
        <w:rPr>
          <w:rFonts w:ascii="Montserrat" w:eastAsia="Calibri" w:hAnsi="Montserrat" w:cs="Arial"/>
          <w:b/>
          <w:bCs/>
        </w:rPr>
        <w:t>SSRE</w:t>
      </w:r>
      <w:r>
        <w:rPr>
          <w:rFonts w:ascii="Montserrat" w:eastAsia="Calibri" w:hAnsi="Montserrat" w:cs="Arial"/>
          <w:bCs/>
        </w:rPr>
        <w:t xml:space="preserve"> </w:t>
      </w:r>
      <w:r>
        <w:rPr>
          <w:rFonts w:ascii="Montserrat" w:hAnsi="Montserrat" w:cs="Arial"/>
        </w:rPr>
        <w:t>manifestó lo siguiente:</w:t>
      </w:r>
    </w:p>
    <w:p w:rsidR="00F72238" w:rsidRDefault="00F72238" w:rsidP="00F72238">
      <w:pPr>
        <w:jc w:val="both"/>
        <w:rPr>
          <w:rFonts w:ascii="Montserrat" w:eastAsia="Calibri" w:hAnsi="Montserrat" w:cs="Arial"/>
          <w:bCs/>
        </w:rPr>
      </w:pPr>
    </w:p>
    <w:p w:rsidR="00F72238" w:rsidRPr="00FA5B75" w:rsidRDefault="00F72238" w:rsidP="00F72238">
      <w:pPr>
        <w:pStyle w:val="Sinespaciado"/>
        <w:spacing w:after="120"/>
        <w:ind w:left="567" w:right="284"/>
        <w:jc w:val="both"/>
        <w:rPr>
          <w:rFonts w:ascii="Montserrat" w:hAnsi="Montserrat"/>
          <w:i/>
          <w:sz w:val="20"/>
          <w:szCs w:val="20"/>
        </w:rPr>
      </w:pPr>
      <w:r>
        <w:rPr>
          <w:rFonts w:ascii="Montserrat" w:hAnsi="Montserrat"/>
          <w:i/>
          <w:sz w:val="20"/>
          <w:szCs w:val="20"/>
        </w:rPr>
        <w:t>“</w:t>
      </w:r>
      <w:r w:rsidRPr="00FA5B75">
        <w:rPr>
          <w:rFonts w:ascii="Montserrat" w:hAnsi="Montserrat"/>
          <w:i/>
          <w:sz w:val="20"/>
          <w:szCs w:val="20"/>
        </w:rPr>
        <w:t>Sobre el particular, se informa a esa Unidad de Transparencia que esta Subsecretaría se aviene a la respuesta proporcionada por la Dirección General para África y Medio Oriente, mediante correo electrónico AMO00462, del 30 de mayo en curso.” (Sic)</w:t>
      </w:r>
    </w:p>
    <w:p w:rsidR="00FA5B75" w:rsidRDefault="00FA5B75" w:rsidP="00920E80">
      <w:pPr>
        <w:jc w:val="both"/>
        <w:rPr>
          <w:rFonts w:ascii="Montserrat" w:eastAsia="Calibri" w:hAnsi="Montserrat" w:cs="Arial"/>
          <w:bCs/>
        </w:rPr>
      </w:pPr>
    </w:p>
    <w:p w:rsidR="00920E80" w:rsidRPr="00AF2A26" w:rsidRDefault="00920E80" w:rsidP="00920E80">
      <w:pPr>
        <w:jc w:val="both"/>
        <w:rPr>
          <w:rFonts w:ascii="Montserrat" w:eastAsia="Calibri" w:hAnsi="Montserrat" w:cs="Arial"/>
          <w:bCs/>
        </w:rPr>
      </w:pPr>
      <w:r w:rsidRPr="00AF2A26">
        <w:rPr>
          <w:rFonts w:ascii="Montserrat" w:eastAsia="Calibri" w:hAnsi="Montserrat" w:cs="Arial"/>
          <w:bCs/>
        </w:rPr>
        <w:t xml:space="preserve">En esa tesitura, este Comité de Transparencia procede a valorar las manifestaciones expuestas por </w:t>
      </w:r>
      <w:r w:rsidR="00FA5B75" w:rsidRPr="00AF2A26">
        <w:rPr>
          <w:rFonts w:ascii="Montserrat" w:eastAsia="Calibri" w:hAnsi="Montserrat" w:cs="Arial"/>
          <w:bCs/>
        </w:rPr>
        <w:t>la</w:t>
      </w:r>
      <w:r w:rsidR="00FA5B75">
        <w:rPr>
          <w:rFonts w:ascii="Montserrat" w:eastAsia="Calibri" w:hAnsi="Montserrat" w:cs="Arial"/>
          <w:bCs/>
        </w:rPr>
        <w:t>s</w:t>
      </w:r>
      <w:r w:rsidR="00FA5B75" w:rsidRPr="00AF2A26">
        <w:rPr>
          <w:rFonts w:ascii="Montserrat" w:eastAsia="Calibri" w:hAnsi="Montserrat" w:cs="Arial"/>
          <w:bCs/>
        </w:rPr>
        <w:t xml:space="preserve"> unidades administrativas correspondientes</w:t>
      </w:r>
      <w:r w:rsidRPr="00AF2A26">
        <w:rPr>
          <w:rFonts w:ascii="Montserrat" w:eastAsia="Calibri" w:hAnsi="Montserrat" w:cs="Arial"/>
          <w:bCs/>
        </w:rPr>
        <w:t>, de conformidad con los siguientes:</w:t>
      </w:r>
    </w:p>
    <w:p w:rsidR="00920E80" w:rsidRPr="00AF2A26" w:rsidRDefault="00920E80" w:rsidP="00920E80">
      <w:pPr>
        <w:autoSpaceDE w:val="0"/>
        <w:autoSpaceDN w:val="0"/>
        <w:adjustRightInd w:val="0"/>
        <w:ind w:right="48"/>
        <w:jc w:val="both"/>
        <w:rPr>
          <w:rFonts w:ascii="Montserrat" w:eastAsia="Calibri" w:hAnsi="Montserrat" w:cs="Arial"/>
        </w:rPr>
      </w:pPr>
    </w:p>
    <w:p w:rsidR="00920E80" w:rsidRPr="00AF2A26" w:rsidRDefault="00920E80" w:rsidP="00920E80">
      <w:pPr>
        <w:autoSpaceDE w:val="0"/>
        <w:autoSpaceDN w:val="0"/>
        <w:adjustRightInd w:val="0"/>
        <w:ind w:right="48"/>
        <w:jc w:val="both"/>
        <w:rPr>
          <w:rFonts w:ascii="Montserrat" w:eastAsia="Calibri" w:hAnsi="Montserrat" w:cs="Arial"/>
        </w:rPr>
      </w:pPr>
    </w:p>
    <w:p w:rsidR="00920E80" w:rsidRPr="00AF2A26" w:rsidRDefault="00920E80" w:rsidP="00920E80">
      <w:pPr>
        <w:jc w:val="center"/>
        <w:rPr>
          <w:rFonts w:ascii="Montserrat ExtraBold" w:eastAsia="Calibri" w:hAnsi="Montserrat ExtraBold" w:cs="Arial"/>
          <w:b/>
        </w:rPr>
      </w:pPr>
      <w:r w:rsidRPr="00AF2A26">
        <w:rPr>
          <w:rFonts w:ascii="Montserrat ExtraBold" w:eastAsia="Calibri" w:hAnsi="Montserrat ExtraBold" w:cs="Arial"/>
          <w:b/>
        </w:rPr>
        <w:t>C O N S I D E R A N D O S</w:t>
      </w:r>
    </w:p>
    <w:p w:rsidR="00920E80" w:rsidRPr="00AF2A26" w:rsidRDefault="00920E80" w:rsidP="00920E80">
      <w:pPr>
        <w:pStyle w:val="Prrafodelista"/>
        <w:ind w:left="0" w:right="45"/>
        <w:jc w:val="both"/>
        <w:rPr>
          <w:rFonts w:ascii="Montserrat" w:hAnsi="Montserrat" w:cs="Arial"/>
          <w:bCs/>
        </w:rPr>
      </w:pPr>
    </w:p>
    <w:p w:rsidR="00920E80" w:rsidRDefault="00920E80" w:rsidP="00920E80">
      <w:pPr>
        <w:ind w:right="-1"/>
        <w:jc w:val="both"/>
        <w:rPr>
          <w:rFonts w:ascii="Montserrat" w:hAnsi="Montserrat" w:cs="Arial"/>
        </w:rPr>
      </w:pPr>
      <w:r w:rsidRPr="00AF2A26">
        <w:rPr>
          <w:rFonts w:ascii="Montserrat" w:hAnsi="Montserrat" w:cs="Arial"/>
          <w:b/>
          <w:iCs/>
        </w:rPr>
        <w:t>Primero.-</w:t>
      </w:r>
      <w:r w:rsidRPr="00AF2A26">
        <w:rPr>
          <w:rFonts w:ascii="Montserrat" w:hAnsi="Montserrat" w:cs="Arial"/>
          <w:iCs/>
        </w:rPr>
        <w:t xml:space="preserve"> </w:t>
      </w:r>
      <w:r w:rsidR="00AF2A26" w:rsidRPr="00AF2A26">
        <w:rPr>
          <w:rFonts w:ascii="Montserrat" w:eastAsia="Calibri" w:hAnsi="Montserrat" w:cs="Arial"/>
        </w:rPr>
        <w:t>Que el Comité de Transparencia es competente para verificar la declaratoria de reserva de la información</w:t>
      </w:r>
      <w:r w:rsidR="00AF2A26" w:rsidRPr="001D6EE3">
        <w:rPr>
          <w:rFonts w:ascii="Montserrat" w:eastAsia="Calibri" w:hAnsi="Montserrat" w:cs="Arial"/>
        </w:rPr>
        <w:t xml:space="preserve"> hecha por la</w:t>
      </w:r>
      <w:r w:rsidR="00AF2A26">
        <w:rPr>
          <w:rFonts w:ascii="Montserrat" w:eastAsia="Calibri" w:hAnsi="Montserrat" w:cs="Arial"/>
        </w:rPr>
        <w:t>s</w:t>
      </w:r>
      <w:r w:rsidR="00AF2A26" w:rsidRPr="001D6EE3">
        <w:rPr>
          <w:rFonts w:ascii="Montserrat" w:eastAsia="Calibri" w:hAnsi="Montserrat" w:cs="Arial"/>
        </w:rPr>
        <w:t xml:space="preserve"> unidad</w:t>
      </w:r>
      <w:r w:rsidR="00AF2A26">
        <w:rPr>
          <w:rFonts w:ascii="Montserrat" w:eastAsia="Calibri" w:hAnsi="Montserrat" w:cs="Arial"/>
        </w:rPr>
        <w:t>es</w:t>
      </w:r>
      <w:r w:rsidR="00AF2A26" w:rsidRPr="001D6EE3">
        <w:rPr>
          <w:rFonts w:ascii="Montserrat" w:eastAsia="Calibri" w:hAnsi="Montserrat" w:cs="Arial"/>
        </w:rPr>
        <w:t xml:space="preserve"> administrativa</w:t>
      </w:r>
      <w:r w:rsidR="00AF2A26">
        <w:rPr>
          <w:rFonts w:ascii="Montserrat" w:eastAsia="Calibri" w:hAnsi="Montserrat" w:cs="Arial"/>
        </w:rPr>
        <w:t>s</w:t>
      </w:r>
      <w:r w:rsidR="00AF2A26" w:rsidRPr="001D6EE3">
        <w:rPr>
          <w:rFonts w:ascii="Montserrat" w:hAnsi="Montserrat" w:cs="Arial"/>
        </w:rPr>
        <w:t xml:space="preserve">, de conformidad con los </w:t>
      </w:r>
      <w:r w:rsidR="00AF2A26" w:rsidRPr="001D6EE3">
        <w:rPr>
          <w:rFonts w:ascii="Montserrat" w:hAnsi="Montserrat" w:cs="Arial"/>
          <w:iCs/>
        </w:rPr>
        <w:t>artículos 64</w:t>
      </w:r>
      <w:r w:rsidR="00AF2A26">
        <w:rPr>
          <w:rFonts w:ascii="Montserrat" w:hAnsi="Montserrat" w:cs="Arial"/>
          <w:iCs/>
        </w:rPr>
        <w:t>,</w:t>
      </w:r>
      <w:r w:rsidR="00AF2A26" w:rsidRPr="001D6EE3">
        <w:rPr>
          <w:rFonts w:ascii="Montserrat" w:hAnsi="Montserrat" w:cs="Arial"/>
          <w:iCs/>
        </w:rPr>
        <w:t xml:space="preserve"> 65 fracción II y 110</w:t>
      </w:r>
      <w:r w:rsidR="00AF2A26">
        <w:rPr>
          <w:rFonts w:ascii="Montserrat" w:hAnsi="Montserrat" w:cs="Arial"/>
          <w:iCs/>
        </w:rPr>
        <w:t xml:space="preserve"> fracció</w:t>
      </w:r>
      <w:r w:rsidR="00AF2A26" w:rsidRPr="001D6EE3">
        <w:rPr>
          <w:rFonts w:ascii="Montserrat" w:hAnsi="Montserrat" w:cs="Arial"/>
          <w:iCs/>
        </w:rPr>
        <w:t xml:space="preserve">n </w:t>
      </w:r>
      <w:r w:rsidR="00AF2A26">
        <w:rPr>
          <w:rFonts w:ascii="Montserrat" w:hAnsi="Montserrat" w:cs="Arial"/>
          <w:iCs/>
        </w:rPr>
        <w:t xml:space="preserve">II </w:t>
      </w:r>
      <w:r w:rsidR="00AF2A26" w:rsidRPr="001D6EE3">
        <w:rPr>
          <w:rFonts w:ascii="Montserrat" w:hAnsi="Montserrat" w:cs="Arial"/>
          <w:iCs/>
        </w:rPr>
        <w:t xml:space="preserve">de la Ley Federal de Transparencia y Acceso a la Información Pública </w:t>
      </w:r>
      <w:r w:rsidR="00AF2A26" w:rsidRPr="001D6EE3">
        <w:rPr>
          <w:rFonts w:ascii="Montserrat" w:eastAsia="Calibri" w:hAnsi="Montserrat" w:cs="Arial"/>
          <w:bCs/>
        </w:rPr>
        <w:t>(</w:t>
      </w:r>
      <w:r w:rsidR="00AF2A26" w:rsidRPr="001D6EE3">
        <w:rPr>
          <w:rFonts w:ascii="Montserrat" w:eastAsia="Calibri" w:hAnsi="Montserrat" w:cs="Arial"/>
          <w:b/>
          <w:bCs/>
        </w:rPr>
        <w:t>LFTAIP</w:t>
      </w:r>
      <w:r w:rsidR="00AF2A26" w:rsidRPr="001D6EE3">
        <w:rPr>
          <w:rFonts w:ascii="Montserrat" w:eastAsia="Calibri" w:hAnsi="Montserrat" w:cs="Arial"/>
          <w:bCs/>
        </w:rPr>
        <w:t>)</w:t>
      </w:r>
      <w:r w:rsidR="00AF2A26" w:rsidRPr="001D6EE3">
        <w:rPr>
          <w:rFonts w:ascii="Montserrat" w:hAnsi="Montserrat" w:cs="Arial"/>
        </w:rPr>
        <w:t>.</w:t>
      </w:r>
    </w:p>
    <w:p w:rsidR="00F72238" w:rsidRPr="00C24996" w:rsidRDefault="00F72238" w:rsidP="00920E80">
      <w:pPr>
        <w:ind w:right="-1"/>
        <w:jc w:val="both"/>
        <w:rPr>
          <w:rFonts w:ascii="Montserrat" w:hAnsi="Montserrat" w:cs="Arial"/>
          <w:bCs/>
          <w:highlight w:val="yellow"/>
        </w:rPr>
      </w:pPr>
    </w:p>
    <w:p w:rsidR="00AF2A26" w:rsidRPr="00AF2A26" w:rsidRDefault="00920E80" w:rsidP="00AF2A26">
      <w:pPr>
        <w:ind w:right="45"/>
        <w:jc w:val="both"/>
        <w:rPr>
          <w:rFonts w:ascii="Montserrat" w:eastAsia="Calibri" w:hAnsi="Montserrat" w:cs="Arial"/>
          <w:bCs/>
        </w:rPr>
      </w:pPr>
      <w:r w:rsidRPr="00AF2A26">
        <w:rPr>
          <w:rFonts w:ascii="Montserrat" w:hAnsi="Montserrat" w:cs="Arial"/>
          <w:b/>
          <w:iCs/>
        </w:rPr>
        <w:t>Segundo.-</w:t>
      </w:r>
      <w:r w:rsidRPr="00AF2A26">
        <w:rPr>
          <w:rFonts w:ascii="Montserrat" w:hAnsi="Montserrat" w:cs="Arial"/>
          <w:iCs/>
        </w:rPr>
        <w:t xml:space="preserve"> </w:t>
      </w:r>
      <w:r w:rsidRPr="00AF2A26">
        <w:rPr>
          <w:rFonts w:ascii="Montserrat" w:hAnsi="Montserrat" w:cs="Arial"/>
          <w:bCs/>
        </w:rPr>
        <w:t xml:space="preserve">Que </w:t>
      </w:r>
      <w:r w:rsidR="00FA5B75" w:rsidRPr="001D6EE3">
        <w:rPr>
          <w:rFonts w:ascii="Montserrat" w:hAnsi="Montserrat" w:cs="Arial"/>
          <w:bCs/>
        </w:rPr>
        <w:t xml:space="preserve">la </w:t>
      </w:r>
      <w:r w:rsidR="00FA5B75">
        <w:rPr>
          <w:rFonts w:ascii="Montserrat" w:eastAsia="Calibri" w:hAnsi="Montserrat" w:cs="Arial"/>
          <w:b/>
          <w:bCs/>
        </w:rPr>
        <w:t>SSRE</w:t>
      </w:r>
      <w:r w:rsidR="00FA5B75">
        <w:rPr>
          <w:rFonts w:ascii="Montserrat" w:eastAsia="Calibri" w:hAnsi="Montserrat" w:cs="Arial"/>
          <w:bCs/>
        </w:rPr>
        <w:t xml:space="preserve"> y la</w:t>
      </w:r>
      <w:r w:rsidR="00FA5B75" w:rsidRPr="00DB714D">
        <w:rPr>
          <w:rFonts w:ascii="Montserrat" w:eastAsia="Calibri" w:hAnsi="Montserrat" w:cs="Arial"/>
          <w:bCs/>
        </w:rPr>
        <w:t xml:space="preserve"> </w:t>
      </w:r>
      <w:r w:rsidR="00FA5B75">
        <w:rPr>
          <w:rFonts w:ascii="Montserrat" w:eastAsia="Calibri" w:hAnsi="Montserrat" w:cs="Arial"/>
          <w:b/>
          <w:bCs/>
        </w:rPr>
        <w:t xml:space="preserve">DGAMO </w:t>
      </w:r>
      <w:r w:rsidRPr="00AF2A26">
        <w:rPr>
          <w:rFonts w:ascii="Montserrat" w:hAnsi="Montserrat" w:cs="Arial"/>
          <w:iCs/>
        </w:rPr>
        <w:t>en el ámbito de su competencia</w:t>
      </w:r>
      <w:r w:rsidRPr="00AF2A26">
        <w:rPr>
          <w:rFonts w:ascii="Montserrat" w:eastAsia="Batang" w:hAnsi="Montserrat" w:cs="Arial"/>
        </w:rPr>
        <w:t xml:space="preserve"> </w:t>
      </w:r>
      <w:r w:rsidR="00F72238">
        <w:rPr>
          <w:rFonts w:ascii="Montserrat" w:eastAsia="Calibri" w:hAnsi="Montserrat" w:cs="Arial"/>
          <w:bCs/>
        </w:rPr>
        <w:t>reserv</w:t>
      </w:r>
      <w:r w:rsidR="00FA5B75">
        <w:rPr>
          <w:rFonts w:ascii="Montserrat" w:eastAsia="Calibri" w:hAnsi="Montserrat" w:cs="Arial"/>
          <w:bCs/>
        </w:rPr>
        <w:t>aron</w:t>
      </w:r>
      <w:r w:rsidR="00AF2A26" w:rsidRPr="00AF2A26">
        <w:rPr>
          <w:rFonts w:ascii="Montserrat" w:eastAsia="Calibri" w:hAnsi="Montserrat" w:cs="Arial"/>
          <w:bCs/>
        </w:rPr>
        <w:t xml:space="preserve"> la nota diplomática y sus anexos, expedida por Embajada de Kazajstán en México, de conformidad con lo siguiente:</w:t>
      </w:r>
    </w:p>
    <w:p w:rsidR="00920E80" w:rsidRPr="00AF2A26" w:rsidRDefault="00920E80" w:rsidP="00AF2A26">
      <w:pPr>
        <w:ind w:right="49"/>
        <w:jc w:val="both"/>
        <w:rPr>
          <w:rFonts w:ascii="Montserrat" w:hAnsi="Montserrat" w:cs="Arial"/>
          <w:bCs/>
        </w:rPr>
      </w:pPr>
    </w:p>
    <w:p w:rsidR="000735B3" w:rsidRPr="00AF2A26" w:rsidRDefault="000735B3" w:rsidP="00B9007B">
      <w:pPr>
        <w:spacing w:after="120"/>
        <w:ind w:left="284" w:right="-1"/>
        <w:jc w:val="both"/>
        <w:rPr>
          <w:rFonts w:ascii="Montserrat" w:hAnsi="Montserrat" w:cs="Arial"/>
          <w:iCs/>
        </w:rPr>
      </w:pPr>
      <w:r w:rsidRPr="00AF2A26">
        <w:rPr>
          <w:rFonts w:ascii="Montserrat" w:hAnsi="Montserrat" w:cs="Arial"/>
          <w:b/>
          <w:i/>
          <w:iCs/>
        </w:rPr>
        <w:t>Información Clasificada:</w:t>
      </w:r>
      <w:r w:rsidRPr="00AF2A26">
        <w:rPr>
          <w:rFonts w:ascii="Montserrat" w:hAnsi="Montserrat" w:cs="Arial"/>
          <w:b/>
          <w:iCs/>
        </w:rPr>
        <w:t xml:space="preserve"> </w:t>
      </w:r>
      <w:r w:rsidR="00F72E8D" w:rsidRPr="00AF2A26">
        <w:rPr>
          <w:rFonts w:ascii="Montserrat" w:hAnsi="Montserrat" w:cs="Arial"/>
          <w:iCs/>
        </w:rPr>
        <w:t>L</w:t>
      </w:r>
      <w:r w:rsidR="00F72E8D" w:rsidRPr="00AF2A26">
        <w:rPr>
          <w:rFonts w:ascii="Montserrat" w:eastAsia="Calibri" w:hAnsi="Montserrat" w:cs="Arial"/>
          <w:bCs/>
        </w:rPr>
        <w:t>a nota diplomática número 30-28143, así como su anexo, expedidos por la Embajada de Kazajstán en México con fecha 18 de marzo de 2017</w:t>
      </w:r>
      <w:r w:rsidRPr="00AF2A26">
        <w:rPr>
          <w:rFonts w:ascii="Montserrat" w:hAnsi="Montserrat" w:cs="Arial"/>
          <w:iCs/>
        </w:rPr>
        <w:t>.</w:t>
      </w:r>
    </w:p>
    <w:p w:rsidR="00920E80" w:rsidRPr="001B43AB" w:rsidRDefault="00920E80" w:rsidP="00B9007B">
      <w:pPr>
        <w:spacing w:after="120"/>
        <w:ind w:left="284" w:right="-1"/>
        <w:jc w:val="both"/>
        <w:rPr>
          <w:rFonts w:ascii="Montserrat" w:hAnsi="Montserrat" w:cs="Arial"/>
          <w:iCs/>
        </w:rPr>
      </w:pPr>
      <w:r w:rsidRPr="001B43AB">
        <w:rPr>
          <w:rFonts w:ascii="Montserrat" w:hAnsi="Montserrat" w:cs="Arial"/>
          <w:b/>
          <w:i/>
          <w:iCs/>
        </w:rPr>
        <w:t>Clasificación de la información:</w:t>
      </w:r>
      <w:r w:rsidRPr="001B43AB">
        <w:rPr>
          <w:rFonts w:ascii="Montserrat" w:hAnsi="Montserrat" w:cs="Arial"/>
          <w:b/>
          <w:iCs/>
        </w:rPr>
        <w:t xml:space="preserve"> </w:t>
      </w:r>
      <w:r w:rsidR="00F72E8D" w:rsidRPr="001B43AB">
        <w:rPr>
          <w:rFonts w:ascii="Montserrat" w:hAnsi="Montserrat" w:cs="Arial"/>
          <w:iCs/>
        </w:rPr>
        <w:t>RESERVADA</w:t>
      </w:r>
      <w:r w:rsidRPr="001B43AB">
        <w:rPr>
          <w:rFonts w:ascii="Montserrat" w:hAnsi="Montserrat" w:cs="Arial"/>
          <w:iCs/>
        </w:rPr>
        <w:t>.</w:t>
      </w:r>
    </w:p>
    <w:p w:rsidR="00AF2A26" w:rsidRPr="001B43AB" w:rsidRDefault="00AF2A26" w:rsidP="00AF2A26">
      <w:pPr>
        <w:spacing w:after="120"/>
        <w:ind w:left="284" w:right="-1"/>
        <w:jc w:val="both"/>
        <w:rPr>
          <w:rFonts w:ascii="Montserrat" w:hAnsi="Montserrat" w:cs="Arial"/>
          <w:iCs/>
          <w:color w:val="000000"/>
        </w:rPr>
      </w:pPr>
      <w:r w:rsidRPr="001B43AB">
        <w:rPr>
          <w:rFonts w:ascii="Montserrat" w:hAnsi="Montserrat" w:cs="Arial"/>
          <w:b/>
          <w:i/>
          <w:iCs/>
          <w:color w:val="000000"/>
        </w:rPr>
        <w:t xml:space="preserve">Período de la reserva: </w:t>
      </w:r>
      <w:r w:rsidRPr="001B43AB">
        <w:rPr>
          <w:rFonts w:ascii="Montserrat" w:hAnsi="Montserrat" w:cs="Arial"/>
          <w:iCs/>
          <w:color w:val="000000"/>
        </w:rPr>
        <w:t>5 años, a partir de la emisión de la presente resolución.</w:t>
      </w:r>
    </w:p>
    <w:p w:rsidR="00AF2A26" w:rsidRPr="001B43AB" w:rsidRDefault="00920E80" w:rsidP="00AF2A26">
      <w:pPr>
        <w:spacing w:after="120"/>
        <w:ind w:left="284" w:right="-1"/>
        <w:jc w:val="both"/>
        <w:rPr>
          <w:rFonts w:ascii="Montserrat" w:hAnsi="Montserrat" w:cs="Arial"/>
          <w:b/>
          <w:iCs/>
          <w:color w:val="000000"/>
        </w:rPr>
      </w:pPr>
      <w:r w:rsidRPr="001B43AB">
        <w:rPr>
          <w:rFonts w:ascii="Montserrat" w:hAnsi="Montserrat" w:cs="Arial"/>
          <w:b/>
          <w:i/>
          <w:iCs/>
        </w:rPr>
        <w:lastRenderedPageBreak/>
        <w:t xml:space="preserve">Fundamento de la Clasificación de la información: </w:t>
      </w:r>
      <w:r w:rsidR="00AF2A26" w:rsidRPr="001B43AB">
        <w:rPr>
          <w:rFonts w:ascii="Montserrat" w:hAnsi="Montserrat" w:cs="Arial"/>
          <w:iCs/>
          <w:color w:val="000000"/>
        </w:rPr>
        <w:t>A</w:t>
      </w:r>
      <w:r w:rsidR="00AF2A26" w:rsidRPr="001B43AB">
        <w:rPr>
          <w:rFonts w:ascii="Montserrat" w:hAnsi="Montserrat" w:cs="Arial"/>
        </w:rPr>
        <w:t xml:space="preserve">rtículos </w:t>
      </w:r>
      <w:r w:rsidR="00AF2A26" w:rsidRPr="001B43AB">
        <w:rPr>
          <w:rFonts w:ascii="Montserrat" w:hAnsi="Montserrat" w:cs="Arial"/>
          <w:iCs/>
        </w:rPr>
        <w:t>97, 98, fracción I, 102, 110</w:t>
      </w:r>
      <w:r w:rsidR="00AF2A26" w:rsidRPr="001B43AB">
        <w:rPr>
          <w:rFonts w:ascii="Montserrat" w:hAnsi="Montserrat" w:cs="Arial"/>
          <w:iCs/>
          <w:color w:val="000000"/>
        </w:rPr>
        <w:t xml:space="preserve"> fracción II </w:t>
      </w:r>
      <w:r w:rsidR="00AF2A26" w:rsidRPr="001B43AB">
        <w:rPr>
          <w:rFonts w:ascii="Montserrat" w:eastAsia="Calibri" w:hAnsi="Montserrat" w:cs="Arial"/>
          <w:color w:val="000000"/>
        </w:rPr>
        <w:t xml:space="preserve">y 111 de la </w:t>
      </w:r>
      <w:r w:rsidR="00AF2A26" w:rsidRPr="001B43AB">
        <w:rPr>
          <w:rFonts w:ascii="Montserrat" w:hAnsi="Montserrat" w:cs="Arial"/>
          <w:b/>
        </w:rPr>
        <w:t>LFTAIP</w:t>
      </w:r>
      <w:r w:rsidR="00AF2A26" w:rsidRPr="001B43AB">
        <w:rPr>
          <w:rFonts w:ascii="Montserrat" w:hAnsi="Montserrat" w:cs="Arial"/>
        </w:rPr>
        <w:t>.</w:t>
      </w:r>
    </w:p>
    <w:p w:rsidR="008370DC" w:rsidRPr="001B43AB" w:rsidRDefault="00920E80" w:rsidP="00AF2A26">
      <w:pPr>
        <w:pStyle w:val="Prrafodelista"/>
        <w:spacing w:after="120"/>
        <w:ind w:left="284" w:right="-1"/>
        <w:contextualSpacing w:val="0"/>
        <w:jc w:val="both"/>
        <w:rPr>
          <w:rFonts w:ascii="Montserrat" w:hAnsi="Montserrat" w:cs="Arial"/>
        </w:rPr>
      </w:pPr>
      <w:r w:rsidRPr="001B43AB">
        <w:rPr>
          <w:rFonts w:ascii="Montserrat" w:hAnsi="Montserrat" w:cs="Arial"/>
          <w:b/>
          <w:i/>
          <w:iCs/>
        </w:rPr>
        <w:t>Motivación de la Clasificación de la información:</w:t>
      </w:r>
      <w:r w:rsidRPr="001B43AB">
        <w:rPr>
          <w:rFonts w:ascii="Montserrat" w:hAnsi="Montserrat" w:cs="Arial"/>
          <w:b/>
          <w:iCs/>
        </w:rPr>
        <w:t xml:space="preserve"> </w:t>
      </w:r>
      <w:r w:rsidRPr="001B43AB">
        <w:rPr>
          <w:rFonts w:ascii="Montserrat" w:hAnsi="Montserrat" w:cs="Arial"/>
        </w:rPr>
        <w:t>Toda vez que</w:t>
      </w:r>
      <w:r w:rsidR="008370DC" w:rsidRPr="001B43AB">
        <w:rPr>
          <w:rFonts w:ascii="Montserrat" w:hAnsi="Montserrat" w:cs="Arial"/>
        </w:rPr>
        <w:t>:</w:t>
      </w:r>
    </w:p>
    <w:p w:rsidR="00920E80" w:rsidRPr="001B43AB" w:rsidRDefault="001B43AB" w:rsidP="001B43AB">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 xml:space="preserve">El </w:t>
      </w:r>
      <w:r w:rsidR="00AF2A26" w:rsidRPr="001B43AB">
        <w:rPr>
          <w:rFonts w:ascii="Montserrat" w:hAnsi="Montserrat"/>
        </w:rPr>
        <w:t xml:space="preserve">intercambio de notas se realiza con la expectativa de un tratamiento de la información bajo condiciones de confidencialidad, discreción y sigilo, por lo que la entrega o filtración de esa información sin consentimiento y/o autorización de la parte emisora genera una pérdida de confianza en la conducción de las relaciones entre los dos países, lo cual merma la consecución de los objetivos de ampliar la presencia política, incrementar los flujos económicos y ampliar la cooperación en materias de interés mutuo entre dos Estados. </w:t>
      </w:r>
    </w:p>
    <w:p w:rsidR="00AF2A26" w:rsidRPr="001B43AB" w:rsidRDefault="00AF2A26" w:rsidP="008370DC">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 xml:space="preserve">La pérdida de confianza, derivada de una entrega de información a terceros </w:t>
      </w:r>
      <w:r w:rsidR="001B43AB">
        <w:rPr>
          <w:rFonts w:ascii="Montserrat" w:hAnsi="Montserrat"/>
        </w:rPr>
        <w:t>(</w:t>
      </w:r>
      <w:r w:rsidRPr="001B43AB">
        <w:rPr>
          <w:rFonts w:ascii="Montserrat" w:hAnsi="Montserrat"/>
        </w:rPr>
        <w:t>información compartida por la parte kazaja bajo la expectativa de confidencialidad</w:t>
      </w:r>
      <w:r w:rsidR="001B43AB">
        <w:rPr>
          <w:rFonts w:ascii="Montserrat" w:hAnsi="Montserrat"/>
        </w:rPr>
        <w:t>)</w:t>
      </w:r>
      <w:r w:rsidRPr="001B43AB">
        <w:rPr>
          <w:rFonts w:ascii="Montserrat" w:hAnsi="Montserrat"/>
        </w:rPr>
        <w:t xml:space="preserve"> inevitablemente afectará los progresos iniciales en esa relación bilateral, la cual se encuentra sujeta a vulnerabilidades, con el riesgo de regresión de los contactos.</w:t>
      </w:r>
    </w:p>
    <w:p w:rsidR="00AF2A26" w:rsidRPr="001B43AB" w:rsidRDefault="00AF2A26" w:rsidP="008370DC">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La entrega de la información solicitada no solamente no generaría condiciones propicias para el avance en las iniciativas en curso entre México y Kazajstán, sino que, por el contrario, conduciría a un clima de desconfianza, en detrimento de los intereses de política exterior del Estado mexicano y, en particular, del interés de México en aumentar su presencia en Asia Central.</w:t>
      </w:r>
    </w:p>
    <w:p w:rsidR="00AF2A26" w:rsidRPr="001B43AB" w:rsidRDefault="00AF2A26" w:rsidP="00AF2A26">
      <w:pPr>
        <w:pStyle w:val="Prrafodelista"/>
        <w:tabs>
          <w:tab w:val="left" w:pos="708"/>
        </w:tabs>
        <w:spacing w:after="120"/>
        <w:ind w:left="284"/>
        <w:contextualSpacing w:val="0"/>
        <w:jc w:val="both"/>
        <w:rPr>
          <w:rFonts w:ascii="Montserrat" w:hAnsi="Montserrat" w:cs="Arial"/>
          <w:b/>
          <w:i/>
          <w:iCs/>
        </w:rPr>
      </w:pPr>
      <w:r w:rsidRPr="001B43AB">
        <w:rPr>
          <w:rFonts w:ascii="Montserrat" w:hAnsi="Montserrat" w:cs="Arial"/>
          <w:b/>
          <w:i/>
          <w:iCs/>
          <w:u w:val="single"/>
        </w:rPr>
        <w:t>PRUEBA DE DAÑO</w:t>
      </w:r>
      <w:r w:rsidRPr="001B43AB">
        <w:rPr>
          <w:rFonts w:ascii="Montserrat" w:hAnsi="Montserrat" w:cs="Arial"/>
          <w:b/>
          <w:i/>
          <w:iCs/>
        </w:rPr>
        <w:t>:</w:t>
      </w:r>
    </w:p>
    <w:p w:rsidR="00AF2A26" w:rsidRPr="001B43AB" w:rsidRDefault="00AF2A26" w:rsidP="001B43AB">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 xml:space="preserve">Proporcionar la información solicitada por el requirente genera una pérdida de confianza que afectará las negociaciones presentes y futuras que los gobiernos de México y Kazajstán mantienen sobre instrumentos jurídicos (actualmente se encuentran en negociación tres instrumentos jurídicos), proyectos conjuntos dentro y fuera de organismos internaciones, candidaturas en organizaciones internacionales, </w:t>
      </w:r>
      <w:r w:rsidRPr="001B43AB">
        <w:rPr>
          <w:rFonts w:ascii="Montserrat" w:hAnsi="Montserrat"/>
        </w:rPr>
        <w:lastRenderedPageBreak/>
        <w:t>consideraciones relativas a comercio e inversión, y la designación actual y futura de agentes diplomáticos/consulares.</w:t>
      </w:r>
    </w:p>
    <w:p w:rsidR="001B43AB" w:rsidRPr="001B43AB" w:rsidRDefault="001B43AB" w:rsidP="001B43AB">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La eventual difusión por cualquier medio de los documentos solicitados podría afectar los avances en las acciones de política exterior de México en relación con la República de Kazajstán, así como afectar negativamente la imagen de México en toda la región de Asia Central.</w:t>
      </w:r>
    </w:p>
    <w:p w:rsidR="001B43AB" w:rsidRPr="001B43AB" w:rsidRDefault="001B43AB" w:rsidP="001B43AB">
      <w:pPr>
        <w:pStyle w:val="Prrafodelista"/>
        <w:numPr>
          <w:ilvl w:val="0"/>
          <w:numId w:val="2"/>
        </w:numPr>
        <w:spacing w:after="120"/>
        <w:ind w:left="641" w:hanging="357"/>
        <w:contextualSpacing w:val="0"/>
        <w:jc w:val="both"/>
        <w:rPr>
          <w:rFonts w:ascii="Montserrat" w:hAnsi="Montserrat" w:cs="Arial"/>
        </w:rPr>
      </w:pPr>
      <w:r w:rsidRPr="001B43AB">
        <w:rPr>
          <w:rFonts w:ascii="Montserrat" w:hAnsi="Montserrat"/>
        </w:rPr>
        <w:t>La posible divulgación de la información podría ser utilizada de manera contraria a los intereses del Gobierno de México, con consecuencias negativas para el diálogo político y</w:t>
      </w:r>
      <w:r>
        <w:rPr>
          <w:rFonts w:ascii="Montserrat" w:hAnsi="Montserrat"/>
        </w:rPr>
        <w:t xml:space="preserve"> la confianza entre las partes (</w:t>
      </w:r>
      <w:r w:rsidRPr="001B43AB">
        <w:rPr>
          <w:rFonts w:ascii="Montserrat" w:hAnsi="Montserrat"/>
        </w:rPr>
        <w:t>más aún cuando esa relación se encuentra en las primeras etapas de construcción y, por lo tanto, es más propensa a daños que otr</w:t>
      </w:r>
      <w:r>
        <w:rPr>
          <w:rFonts w:ascii="Montserrat" w:hAnsi="Montserrat"/>
        </w:rPr>
        <w:t>as relaciones más consolidadas)</w:t>
      </w:r>
      <w:r w:rsidRPr="001B43AB">
        <w:rPr>
          <w:rFonts w:ascii="Montserrat" w:hAnsi="Montserrat"/>
        </w:rPr>
        <w:t>, causando un daño irreparable a las relaciones diplomáticas entre ambos países</w:t>
      </w:r>
      <w:r>
        <w:rPr>
          <w:rFonts w:ascii="Montserrat" w:hAnsi="Montserrat"/>
        </w:rPr>
        <w:t>.</w:t>
      </w:r>
    </w:p>
    <w:p w:rsidR="00920E80" w:rsidRPr="00C24996" w:rsidRDefault="00920E80" w:rsidP="00920E80">
      <w:pPr>
        <w:tabs>
          <w:tab w:val="left" w:pos="4230"/>
        </w:tabs>
        <w:autoSpaceDE w:val="0"/>
        <w:autoSpaceDN w:val="0"/>
        <w:adjustRightInd w:val="0"/>
        <w:jc w:val="both"/>
        <w:rPr>
          <w:rFonts w:ascii="Montserrat" w:hAnsi="Montserrat" w:cs="Arial"/>
          <w:highlight w:val="yellow"/>
        </w:rPr>
      </w:pPr>
    </w:p>
    <w:p w:rsidR="00920E80" w:rsidRPr="00C24996" w:rsidRDefault="001B43AB" w:rsidP="00920E80">
      <w:pPr>
        <w:tabs>
          <w:tab w:val="left" w:pos="4230"/>
        </w:tabs>
        <w:autoSpaceDE w:val="0"/>
        <w:autoSpaceDN w:val="0"/>
        <w:adjustRightInd w:val="0"/>
        <w:jc w:val="both"/>
        <w:rPr>
          <w:rFonts w:ascii="Montserrat" w:hAnsi="Montserrat" w:cs="Arial"/>
          <w:highlight w:val="yellow"/>
        </w:rPr>
      </w:pPr>
      <w:r w:rsidRPr="007A0D1C">
        <w:rPr>
          <w:rFonts w:ascii="Montserrat" w:hAnsi="Montserrat" w:cs="Arial"/>
          <w:color w:val="000000"/>
        </w:rPr>
        <w:t>Con base en lo anteriormente expuesto y con fundamento en lo dispuesto por los artículos</w:t>
      </w:r>
      <w:r w:rsidRPr="007A0D1C">
        <w:rPr>
          <w:rFonts w:ascii="Montserrat" w:hAnsi="Montserrat" w:cs="Arial"/>
          <w:iCs/>
        </w:rPr>
        <w:t xml:space="preserve"> </w:t>
      </w:r>
      <w:r w:rsidRPr="007A0D1C">
        <w:rPr>
          <w:rFonts w:ascii="Montserrat" w:hAnsi="Montserrat" w:cs="Arial"/>
        </w:rPr>
        <w:t xml:space="preserve">65 fracción II, </w:t>
      </w:r>
      <w:r w:rsidRPr="007A0D1C">
        <w:rPr>
          <w:rFonts w:ascii="Montserrat" w:hAnsi="Montserrat" w:cs="Arial"/>
          <w:iCs/>
        </w:rPr>
        <w:t>97, 98, fracción II,</w:t>
      </w:r>
      <w:r w:rsidRPr="007A0D1C">
        <w:rPr>
          <w:rFonts w:ascii="Montserrat" w:hAnsi="Montserrat" w:cs="Arial"/>
          <w:iCs/>
          <w:color w:val="000000"/>
        </w:rPr>
        <w:t xml:space="preserve"> </w:t>
      </w:r>
      <w:r>
        <w:rPr>
          <w:rFonts w:ascii="Montserrat" w:hAnsi="Montserrat" w:cs="Arial"/>
          <w:iCs/>
        </w:rPr>
        <w:t>102</w:t>
      </w:r>
      <w:r w:rsidRPr="007A0D1C">
        <w:rPr>
          <w:rFonts w:ascii="Montserrat" w:hAnsi="Montserrat" w:cs="Arial"/>
          <w:iCs/>
        </w:rPr>
        <w:t xml:space="preserve">, </w:t>
      </w:r>
      <w:r>
        <w:rPr>
          <w:rFonts w:ascii="Montserrat" w:hAnsi="Montserrat" w:cs="Arial"/>
          <w:iCs/>
          <w:color w:val="000000"/>
        </w:rPr>
        <w:t>110</w:t>
      </w:r>
      <w:bookmarkStart w:id="0" w:name="_GoBack"/>
      <w:bookmarkEnd w:id="0"/>
      <w:r>
        <w:rPr>
          <w:rFonts w:ascii="Montserrat" w:hAnsi="Montserrat" w:cs="Arial"/>
          <w:iCs/>
          <w:color w:val="000000"/>
        </w:rPr>
        <w:t xml:space="preserve"> fracció</w:t>
      </w:r>
      <w:r w:rsidRPr="007A0D1C">
        <w:rPr>
          <w:rFonts w:ascii="Montserrat" w:hAnsi="Montserrat" w:cs="Arial"/>
          <w:iCs/>
          <w:color w:val="000000"/>
        </w:rPr>
        <w:t xml:space="preserve">n </w:t>
      </w:r>
      <w:r>
        <w:rPr>
          <w:rFonts w:ascii="Montserrat" w:hAnsi="Montserrat" w:cs="Arial"/>
          <w:iCs/>
          <w:color w:val="000000"/>
        </w:rPr>
        <w:t>II, 111</w:t>
      </w:r>
      <w:r w:rsidRPr="007A0D1C">
        <w:rPr>
          <w:rFonts w:ascii="Montserrat" w:hAnsi="Montserrat" w:cs="Arial"/>
          <w:iCs/>
        </w:rPr>
        <w:t xml:space="preserve"> y 140 de la</w:t>
      </w:r>
      <w:r w:rsidRPr="007A0D1C">
        <w:rPr>
          <w:rFonts w:ascii="Montserrat" w:hAnsi="Montserrat" w:cs="Arial"/>
        </w:rPr>
        <w:t xml:space="preserve"> </w:t>
      </w:r>
      <w:r w:rsidRPr="007A0D1C">
        <w:rPr>
          <w:rFonts w:ascii="Montserrat" w:hAnsi="Montserrat" w:cs="Arial"/>
          <w:b/>
        </w:rPr>
        <w:t>LFTAIP</w:t>
      </w:r>
      <w:r w:rsidRPr="007A0D1C">
        <w:rPr>
          <w:rFonts w:ascii="Montserrat" w:hAnsi="Montserrat" w:cs="Arial"/>
        </w:rPr>
        <w:t xml:space="preserve"> </w:t>
      </w:r>
      <w:r>
        <w:rPr>
          <w:rFonts w:ascii="Montserrat" w:hAnsi="Montserrat" w:cs="Arial"/>
          <w:color w:val="000000"/>
        </w:rPr>
        <w:t xml:space="preserve">y en los numerales </w:t>
      </w:r>
      <w:r>
        <w:rPr>
          <w:rFonts w:ascii="Montserrat" w:hAnsi="Montserrat" w:cs="Arial"/>
          <w:bCs/>
        </w:rPr>
        <w:t>Vig</w:t>
      </w:r>
      <w:r w:rsidRPr="00FB7E73">
        <w:rPr>
          <w:rFonts w:ascii="Montserrat" w:hAnsi="Montserrat" w:cs="Arial"/>
          <w:bCs/>
        </w:rPr>
        <w:t>é</w:t>
      </w:r>
      <w:r>
        <w:rPr>
          <w:rFonts w:ascii="Montserrat" w:hAnsi="Montserrat" w:cs="Arial"/>
          <w:bCs/>
        </w:rPr>
        <w:t>s</w:t>
      </w:r>
      <w:r w:rsidRPr="00FB7E73">
        <w:rPr>
          <w:rFonts w:ascii="Montserrat" w:hAnsi="Montserrat" w:cs="Arial"/>
          <w:bCs/>
        </w:rPr>
        <w:t>imo</w:t>
      </w:r>
      <w:r>
        <w:rPr>
          <w:rFonts w:ascii="Montserrat" w:hAnsi="Montserrat" w:cs="Arial"/>
          <w:bCs/>
        </w:rPr>
        <w:t xml:space="preserve"> fracción II, Vigésimo Primero y Trigésimo Segundo,</w:t>
      </w:r>
      <w:r w:rsidRPr="007A0D1C">
        <w:rPr>
          <w:rFonts w:ascii="Montserrat" w:hAnsi="Montserrat" w:cs="Arial"/>
        </w:rPr>
        <w:t xml:space="preserve"> de los Lineamientos generales en materia de clasificación y desclasificación de la información, así como para la elaboración de versiones públicas, </w:t>
      </w:r>
      <w:r w:rsidRPr="007A0D1C">
        <w:rPr>
          <w:rFonts w:ascii="Montserrat" w:hAnsi="Montserrat" w:cs="Arial"/>
          <w:color w:val="000000"/>
        </w:rPr>
        <w:t>este Comité de Transparencia emite la siguiente:</w:t>
      </w:r>
    </w:p>
    <w:p w:rsidR="00920E80" w:rsidRPr="00C24996" w:rsidRDefault="00920E80" w:rsidP="00920E80">
      <w:pPr>
        <w:tabs>
          <w:tab w:val="left" w:pos="4230"/>
        </w:tabs>
        <w:autoSpaceDE w:val="0"/>
        <w:autoSpaceDN w:val="0"/>
        <w:adjustRightInd w:val="0"/>
        <w:jc w:val="both"/>
        <w:rPr>
          <w:rFonts w:ascii="Montserrat" w:hAnsi="Montserrat" w:cs="Arial"/>
          <w:highlight w:val="yellow"/>
        </w:rPr>
      </w:pPr>
    </w:p>
    <w:p w:rsidR="00920E80" w:rsidRPr="001B43AB" w:rsidRDefault="00920E80" w:rsidP="00920E80">
      <w:pPr>
        <w:tabs>
          <w:tab w:val="left" w:pos="4230"/>
        </w:tabs>
        <w:autoSpaceDE w:val="0"/>
        <w:autoSpaceDN w:val="0"/>
        <w:adjustRightInd w:val="0"/>
        <w:jc w:val="both"/>
        <w:rPr>
          <w:rFonts w:ascii="Montserrat" w:hAnsi="Montserrat" w:cs="Arial"/>
        </w:rPr>
      </w:pPr>
    </w:p>
    <w:p w:rsidR="00920E80" w:rsidRPr="001B43AB" w:rsidRDefault="00920E80" w:rsidP="00920E80">
      <w:pPr>
        <w:ind w:right="45"/>
        <w:contextualSpacing/>
        <w:jc w:val="center"/>
        <w:rPr>
          <w:rFonts w:ascii="Montserrat" w:eastAsia="Calibri" w:hAnsi="Montserrat" w:cs="Arial"/>
          <w:b/>
        </w:rPr>
      </w:pPr>
      <w:r w:rsidRPr="001B43AB">
        <w:rPr>
          <w:rFonts w:ascii="Montserrat" w:eastAsia="Calibri" w:hAnsi="Montserrat" w:cs="Arial"/>
          <w:b/>
        </w:rPr>
        <w:t>R E S O L U C I Ó N</w:t>
      </w:r>
    </w:p>
    <w:p w:rsidR="00920E80" w:rsidRPr="001B43AB" w:rsidRDefault="00920E80" w:rsidP="00920E80">
      <w:pPr>
        <w:tabs>
          <w:tab w:val="left" w:pos="0"/>
        </w:tabs>
        <w:rPr>
          <w:rFonts w:ascii="Montserrat" w:hAnsi="Montserrat" w:cs="Arial"/>
          <w:bCs/>
        </w:rPr>
      </w:pPr>
    </w:p>
    <w:p w:rsidR="00920E80" w:rsidRPr="001B43AB" w:rsidRDefault="00920E80" w:rsidP="00920E80">
      <w:pPr>
        <w:ind w:left="1418" w:right="-1" w:hanging="1418"/>
        <w:jc w:val="both"/>
        <w:rPr>
          <w:rFonts w:ascii="Montserrat" w:hAnsi="Montserrat" w:cs="Arial"/>
        </w:rPr>
      </w:pPr>
      <w:r w:rsidRPr="001B43AB">
        <w:rPr>
          <w:rFonts w:ascii="Montserrat" w:hAnsi="Montserrat" w:cs="Arial"/>
          <w:b/>
          <w:bCs/>
        </w:rPr>
        <w:t>PRIMERO.-</w:t>
      </w:r>
      <w:r w:rsidRPr="001B43AB">
        <w:rPr>
          <w:rFonts w:ascii="Montserrat" w:hAnsi="Montserrat" w:cs="Arial"/>
          <w:b/>
          <w:bCs/>
        </w:rPr>
        <w:tab/>
      </w:r>
      <w:r w:rsidR="001B43AB" w:rsidRPr="001B43AB">
        <w:rPr>
          <w:rFonts w:ascii="Montserrat" w:hAnsi="Montserrat" w:cs="Arial"/>
        </w:rPr>
        <w:t xml:space="preserve">Se confirma la clasificación como reservada </w:t>
      </w:r>
      <w:r w:rsidR="00FA5B75">
        <w:rPr>
          <w:rFonts w:ascii="Montserrat" w:hAnsi="Montserrat" w:cs="Arial"/>
        </w:rPr>
        <w:t xml:space="preserve">declarada por </w:t>
      </w:r>
      <w:r w:rsidR="00FA5B75" w:rsidRPr="001D6EE3">
        <w:rPr>
          <w:rFonts w:ascii="Montserrat" w:hAnsi="Montserrat" w:cs="Arial"/>
          <w:bCs/>
        </w:rPr>
        <w:t xml:space="preserve">la </w:t>
      </w:r>
      <w:r w:rsidR="00FA5B75">
        <w:rPr>
          <w:rFonts w:ascii="Montserrat" w:eastAsia="Calibri" w:hAnsi="Montserrat" w:cs="Arial"/>
          <w:b/>
          <w:bCs/>
        </w:rPr>
        <w:t>SSRE</w:t>
      </w:r>
      <w:r w:rsidR="00FA5B75">
        <w:rPr>
          <w:rFonts w:ascii="Montserrat" w:eastAsia="Calibri" w:hAnsi="Montserrat" w:cs="Arial"/>
          <w:bCs/>
        </w:rPr>
        <w:t xml:space="preserve"> y la</w:t>
      </w:r>
      <w:r w:rsidR="00FA5B75" w:rsidRPr="00DB714D">
        <w:rPr>
          <w:rFonts w:ascii="Montserrat" w:eastAsia="Calibri" w:hAnsi="Montserrat" w:cs="Arial"/>
          <w:bCs/>
        </w:rPr>
        <w:t xml:space="preserve"> </w:t>
      </w:r>
      <w:r w:rsidR="00FA5B75">
        <w:rPr>
          <w:rFonts w:ascii="Montserrat" w:eastAsia="Calibri" w:hAnsi="Montserrat" w:cs="Arial"/>
          <w:b/>
          <w:bCs/>
        </w:rPr>
        <w:t>DGAMO</w:t>
      </w:r>
      <w:r w:rsidR="00FA5B75">
        <w:rPr>
          <w:rFonts w:ascii="Montserrat" w:eastAsia="Calibri" w:hAnsi="Montserrat" w:cs="Arial"/>
          <w:bCs/>
        </w:rPr>
        <w:t>,</w:t>
      </w:r>
      <w:r w:rsidR="00FA5B75">
        <w:rPr>
          <w:rFonts w:ascii="Montserrat" w:eastAsia="Calibri" w:hAnsi="Montserrat" w:cs="Arial"/>
          <w:b/>
          <w:bCs/>
        </w:rPr>
        <w:t xml:space="preserve"> </w:t>
      </w:r>
      <w:r w:rsidR="001B43AB" w:rsidRPr="001B43AB">
        <w:rPr>
          <w:rFonts w:ascii="Montserrat" w:hAnsi="Montserrat" w:cs="Arial"/>
        </w:rPr>
        <w:t xml:space="preserve">de la </w:t>
      </w:r>
      <w:r w:rsidR="00FA5B75">
        <w:rPr>
          <w:rFonts w:ascii="Montserrat" w:hAnsi="Montserrat" w:cs="Arial"/>
          <w:iCs/>
          <w:color w:val="000000"/>
        </w:rPr>
        <w:t>nota diplomática</w:t>
      </w:r>
      <w:r w:rsidR="001B43AB" w:rsidRPr="001B43AB">
        <w:rPr>
          <w:rFonts w:ascii="Montserrat" w:hAnsi="Montserrat" w:cs="Arial"/>
          <w:iCs/>
          <w:color w:val="000000"/>
        </w:rPr>
        <w:t xml:space="preserve"> expedida por el Gobierno de Kazajstán</w:t>
      </w:r>
      <w:r w:rsidR="001B43AB" w:rsidRPr="001B43AB">
        <w:rPr>
          <w:rFonts w:ascii="Montserrat" w:hAnsi="Montserrat" w:cs="Arial"/>
        </w:rPr>
        <w:t>, conforme a lo señalado en el Considerando Segundo de la presente resolución.</w:t>
      </w:r>
    </w:p>
    <w:p w:rsidR="00F72238" w:rsidRPr="001B43AB" w:rsidRDefault="00F72238" w:rsidP="00920E80">
      <w:pPr>
        <w:ind w:left="1418" w:right="-1" w:hanging="1418"/>
        <w:jc w:val="both"/>
        <w:rPr>
          <w:rFonts w:ascii="Montserrat" w:hAnsi="Montserrat" w:cs="Arial"/>
        </w:rPr>
      </w:pPr>
    </w:p>
    <w:p w:rsidR="00920E80" w:rsidRPr="001B43AB" w:rsidRDefault="00920E80" w:rsidP="00920E80">
      <w:pPr>
        <w:ind w:left="1418" w:right="-1" w:hanging="1418"/>
        <w:jc w:val="both"/>
        <w:rPr>
          <w:rFonts w:ascii="Montserrat" w:hAnsi="Montserrat" w:cs="Arial"/>
        </w:rPr>
      </w:pPr>
      <w:r w:rsidRPr="001B43AB">
        <w:rPr>
          <w:rFonts w:ascii="Montserrat" w:hAnsi="Montserrat" w:cs="Arial"/>
          <w:b/>
          <w:bCs/>
        </w:rPr>
        <w:lastRenderedPageBreak/>
        <w:t>SEGUNDO</w:t>
      </w:r>
      <w:r w:rsidRPr="001B43AB">
        <w:rPr>
          <w:rFonts w:ascii="Montserrat" w:hAnsi="Montserrat" w:cs="Arial"/>
          <w:b/>
        </w:rPr>
        <w:t>.-</w:t>
      </w:r>
      <w:r w:rsidRPr="001B43AB">
        <w:rPr>
          <w:rFonts w:ascii="Montserrat" w:hAnsi="Montserrat" w:cs="Arial"/>
        </w:rPr>
        <w:tab/>
      </w:r>
      <w:r w:rsidR="001B43AB" w:rsidRPr="001B43AB">
        <w:rPr>
          <w:rFonts w:ascii="Montserrat" w:hAnsi="Montserrat" w:cs="Arial"/>
          <w:bCs/>
        </w:rPr>
        <w:t xml:space="preserve">Se </w:t>
      </w:r>
      <w:r w:rsidR="001B43AB" w:rsidRPr="001B43AB">
        <w:rPr>
          <w:rFonts w:ascii="Montserrat" w:hAnsi="Montserrat" w:cs="Arial"/>
        </w:rPr>
        <w:t xml:space="preserve">confirma </w:t>
      </w:r>
      <w:r w:rsidR="001B43AB" w:rsidRPr="001B43AB">
        <w:rPr>
          <w:rFonts w:ascii="Montserrat" w:hAnsi="Montserrat" w:cs="Arial"/>
          <w:bCs/>
        </w:rPr>
        <w:t xml:space="preserve">el periodo de reserva de la información por </w:t>
      </w:r>
      <w:r w:rsidR="001B43AB" w:rsidRPr="001B43AB">
        <w:rPr>
          <w:rFonts w:ascii="Montserrat" w:hAnsi="Montserrat" w:cs="Arial"/>
          <w:b/>
          <w:bCs/>
        </w:rPr>
        <w:t>cinco (05) años</w:t>
      </w:r>
      <w:r w:rsidR="001B43AB" w:rsidRPr="001B43AB">
        <w:rPr>
          <w:rFonts w:ascii="Montserrat" w:hAnsi="Montserrat" w:cs="Arial"/>
          <w:bCs/>
        </w:rPr>
        <w:t xml:space="preserve">, </w:t>
      </w:r>
      <w:r w:rsidR="001B43AB" w:rsidRPr="001B43AB">
        <w:rPr>
          <w:rFonts w:ascii="Montserrat" w:hAnsi="Montserrat" w:cs="Arial"/>
        </w:rPr>
        <w:t>en términos de lo señalado en el Considerando Segundo de la presente resolución.</w:t>
      </w:r>
    </w:p>
    <w:p w:rsidR="00920E80" w:rsidRDefault="00920E80" w:rsidP="00920E80">
      <w:pPr>
        <w:ind w:left="1418" w:right="-1" w:hanging="1418"/>
        <w:jc w:val="both"/>
        <w:rPr>
          <w:rFonts w:ascii="Montserrat" w:hAnsi="Montserrat" w:cs="Arial"/>
          <w:bCs/>
        </w:rPr>
      </w:pPr>
    </w:p>
    <w:p w:rsidR="001B43AB" w:rsidRDefault="00920E80" w:rsidP="00920E80">
      <w:pPr>
        <w:ind w:left="1418" w:right="-1" w:hanging="1418"/>
        <w:jc w:val="both"/>
        <w:rPr>
          <w:rFonts w:ascii="Montserrat" w:hAnsi="Montserrat" w:cs="Arial"/>
          <w:highlight w:val="yellow"/>
        </w:rPr>
      </w:pPr>
      <w:r w:rsidRPr="001B43AB">
        <w:rPr>
          <w:rFonts w:ascii="Montserrat" w:hAnsi="Montserrat" w:cs="Arial"/>
          <w:b/>
          <w:bCs/>
        </w:rPr>
        <w:t>TERCERO</w:t>
      </w:r>
      <w:r w:rsidRPr="001B43AB">
        <w:rPr>
          <w:rFonts w:ascii="Montserrat" w:hAnsi="Montserrat" w:cs="Arial"/>
          <w:b/>
        </w:rPr>
        <w:t>.-</w:t>
      </w:r>
      <w:r w:rsidRPr="001B43AB">
        <w:rPr>
          <w:rFonts w:ascii="Montserrat" w:hAnsi="Montserrat" w:cs="Arial"/>
        </w:rPr>
        <w:tab/>
      </w:r>
      <w:r w:rsidR="00F72238" w:rsidRPr="004E677B">
        <w:rPr>
          <w:rFonts w:ascii="Montserrat" w:hAnsi="Montserrat" w:cs="Arial"/>
        </w:rPr>
        <w:t xml:space="preserve">NOTIFÍQUESE copia de la presente resolución al solicitante, a través de la vía elegida durante la presentación del medio de impugnación, de conformidad con lo señalado en la resolución al recurso de revisión </w:t>
      </w:r>
      <w:r w:rsidR="00F72238" w:rsidRPr="004E677B">
        <w:rPr>
          <w:rFonts w:ascii="Montserrat" w:hAnsi="Montserrat" w:cs="Arial"/>
          <w:b/>
        </w:rPr>
        <w:t xml:space="preserve">RRA </w:t>
      </w:r>
      <w:r w:rsidR="00F72238">
        <w:rPr>
          <w:rFonts w:ascii="Montserrat" w:hAnsi="Montserrat" w:cs="Arial"/>
          <w:b/>
        </w:rPr>
        <w:t>1542</w:t>
      </w:r>
      <w:r w:rsidR="00F72238" w:rsidRPr="004E677B">
        <w:rPr>
          <w:rFonts w:ascii="Montserrat" w:hAnsi="Montserrat" w:cs="Arial"/>
          <w:b/>
        </w:rPr>
        <w:t>/19</w:t>
      </w:r>
      <w:r w:rsidR="00F72238" w:rsidRPr="004E677B">
        <w:rPr>
          <w:rFonts w:ascii="Montserrat" w:hAnsi="Montserrat" w:cs="Arial"/>
        </w:rPr>
        <w:t>.</w:t>
      </w:r>
    </w:p>
    <w:p w:rsidR="00F72238" w:rsidRDefault="00F72238" w:rsidP="00920E80">
      <w:pPr>
        <w:ind w:left="1418" w:right="-1" w:hanging="1418"/>
        <w:jc w:val="both"/>
        <w:rPr>
          <w:rFonts w:ascii="Montserrat" w:hAnsi="Montserrat" w:cs="Arial"/>
          <w:highlight w:val="yellow"/>
        </w:rPr>
      </w:pPr>
    </w:p>
    <w:p w:rsidR="00F72238" w:rsidRPr="004E677B" w:rsidRDefault="00F72238" w:rsidP="00F72238">
      <w:pPr>
        <w:ind w:right="-1"/>
        <w:jc w:val="both"/>
        <w:rPr>
          <w:rFonts w:ascii="Montserrat" w:hAnsi="Montserrat" w:cs="Arial"/>
        </w:rPr>
      </w:pPr>
      <w:r w:rsidRPr="00595F36">
        <w:rPr>
          <w:rFonts w:ascii="Montserrat" w:hAnsi="Montserrat" w:cs="Arial"/>
          <w:b/>
          <w:bCs/>
        </w:rPr>
        <w:t>CUARTO.-</w:t>
      </w:r>
      <w:r w:rsidRPr="00595F36">
        <w:rPr>
          <w:rFonts w:ascii="Montserrat" w:hAnsi="Montserrat" w:cs="Arial"/>
          <w:b/>
          <w:bCs/>
        </w:rPr>
        <w:tab/>
      </w:r>
      <w:r w:rsidRPr="004E677B">
        <w:rPr>
          <w:rFonts w:ascii="Montserrat" w:hAnsi="Montserrat" w:cs="Arial"/>
          <w:bCs/>
        </w:rPr>
        <w:t>Publíquese la presente resolución en el sitio de internet de esta dependencia.</w:t>
      </w:r>
    </w:p>
    <w:p w:rsidR="00920E80" w:rsidRPr="00F72238" w:rsidRDefault="00920E80" w:rsidP="00920E80">
      <w:pPr>
        <w:ind w:left="1418" w:right="-1" w:hanging="1418"/>
        <w:jc w:val="both"/>
        <w:rPr>
          <w:rFonts w:ascii="Montserrat" w:hAnsi="Montserrat" w:cs="Arial"/>
        </w:rPr>
      </w:pPr>
    </w:p>
    <w:p w:rsidR="00920E80" w:rsidRPr="00F72238" w:rsidRDefault="00920E80" w:rsidP="00920E80">
      <w:pPr>
        <w:autoSpaceDE w:val="0"/>
        <w:autoSpaceDN w:val="0"/>
        <w:adjustRightInd w:val="0"/>
        <w:jc w:val="both"/>
        <w:rPr>
          <w:rFonts w:ascii="Montserrat" w:hAnsi="Montserrat" w:cs="Arial"/>
        </w:rPr>
      </w:pPr>
      <w:r w:rsidRPr="00F72238">
        <w:rPr>
          <w:rFonts w:ascii="Montserrat" w:hAnsi="Montserrat" w:cs="Arial"/>
        </w:rPr>
        <w:t xml:space="preserve">Así lo resolvieron, los integrantes del Comité de Transparencia de la Secretaría de Relaciones Exteriores, el día </w:t>
      </w:r>
      <w:r w:rsidR="00F72238" w:rsidRPr="00F72238">
        <w:rPr>
          <w:rFonts w:ascii="Montserrat" w:hAnsi="Montserrat" w:cs="Arial"/>
        </w:rPr>
        <w:t>0</w:t>
      </w:r>
      <w:r w:rsidR="00402074">
        <w:rPr>
          <w:rFonts w:ascii="Montserrat" w:hAnsi="Montserrat" w:cs="Arial"/>
        </w:rPr>
        <w:t>7</w:t>
      </w:r>
      <w:r w:rsidRPr="00F72238">
        <w:rPr>
          <w:rFonts w:ascii="Montserrat" w:hAnsi="Montserrat" w:cs="Arial"/>
        </w:rPr>
        <w:t xml:space="preserve"> de </w:t>
      </w:r>
      <w:r w:rsidR="00F72238" w:rsidRPr="00F72238">
        <w:rPr>
          <w:rFonts w:ascii="Montserrat" w:hAnsi="Montserrat" w:cs="Arial"/>
        </w:rPr>
        <w:t>junio</w:t>
      </w:r>
      <w:r w:rsidRPr="00F72238">
        <w:rPr>
          <w:rFonts w:ascii="Montserrat" w:hAnsi="Montserrat" w:cs="Arial"/>
        </w:rPr>
        <w:t xml:space="preserve"> de 2019.</w:t>
      </w:r>
    </w:p>
    <w:p w:rsidR="00990F55" w:rsidRPr="00F72238" w:rsidRDefault="00990F55" w:rsidP="00990F55">
      <w:pPr>
        <w:autoSpaceDE w:val="0"/>
        <w:autoSpaceDN w:val="0"/>
        <w:adjustRightInd w:val="0"/>
        <w:jc w:val="both"/>
        <w:rPr>
          <w:rFonts w:ascii="Montserrat" w:eastAsia="Times New Roman" w:hAnsi="Montserrat" w:cs="Arial"/>
          <w:bCs/>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990F55" w:rsidRPr="00F72238" w:rsidTr="006349BB">
        <w:tc>
          <w:tcPr>
            <w:tcW w:w="2976" w:type="dxa"/>
            <w:gridSpan w:val="2"/>
          </w:tcPr>
          <w:p w:rsidR="00990F55" w:rsidRPr="00F72238" w:rsidRDefault="00990F55" w:rsidP="006349BB">
            <w:pPr>
              <w:autoSpaceDE w:val="0"/>
              <w:autoSpaceDN w:val="0"/>
              <w:adjustRightInd w:val="0"/>
              <w:jc w:val="both"/>
              <w:rPr>
                <w:rFonts w:ascii="Montserrat" w:hAnsi="Montserrat" w:cs="Arial"/>
                <w:bCs/>
                <w:sz w:val="22"/>
                <w:szCs w:val="22"/>
                <w:lang w:val="es-ES"/>
              </w:rPr>
            </w:pPr>
          </w:p>
        </w:tc>
        <w:tc>
          <w:tcPr>
            <w:tcW w:w="4675" w:type="dxa"/>
            <w:gridSpan w:val="3"/>
            <w:tcBorders>
              <w:bottom w:val="single" w:sz="12" w:space="0" w:color="auto"/>
            </w:tcBorders>
            <w:shd w:val="clear" w:color="auto" w:fill="auto"/>
          </w:tcPr>
          <w:p w:rsidR="00990F55" w:rsidRDefault="00990F55" w:rsidP="006349BB">
            <w:pPr>
              <w:pStyle w:val="Sinespaciado"/>
              <w:jc w:val="center"/>
              <w:rPr>
                <w:rFonts w:ascii="Montserrat" w:hAnsi="Montserrat" w:cs="Arial"/>
              </w:rPr>
            </w:pPr>
          </w:p>
          <w:p w:rsidR="00402074" w:rsidRPr="00F72238" w:rsidRDefault="00402074" w:rsidP="006349BB">
            <w:pPr>
              <w:pStyle w:val="Sinespaciado"/>
              <w:jc w:val="center"/>
              <w:rPr>
                <w:rFonts w:ascii="Montserrat" w:hAnsi="Montserrat" w:cs="Arial"/>
              </w:rPr>
            </w:pPr>
          </w:p>
          <w:p w:rsidR="00990F55" w:rsidRPr="00F72238" w:rsidRDefault="00990F55" w:rsidP="006349BB">
            <w:pPr>
              <w:pStyle w:val="Sinespaciado"/>
              <w:jc w:val="center"/>
              <w:rPr>
                <w:rFonts w:ascii="Montserrat" w:hAnsi="Montserrat" w:cs="Arial"/>
              </w:rPr>
            </w:pPr>
          </w:p>
          <w:p w:rsidR="00990F55" w:rsidRPr="00F72238" w:rsidRDefault="00990F55" w:rsidP="006349BB">
            <w:pPr>
              <w:pStyle w:val="Sinespaciado"/>
              <w:jc w:val="center"/>
              <w:rPr>
                <w:rFonts w:ascii="Montserrat" w:hAnsi="Montserrat" w:cs="Arial"/>
              </w:rPr>
            </w:pPr>
          </w:p>
          <w:p w:rsidR="00990F55" w:rsidRPr="00F72238" w:rsidRDefault="00990F55" w:rsidP="006349BB">
            <w:pPr>
              <w:pStyle w:val="Sinespaciado"/>
              <w:jc w:val="center"/>
              <w:rPr>
                <w:rFonts w:ascii="Montserrat" w:hAnsi="Montserrat" w:cs="Arial"/>
                <w:b/>
              </w:rPr>
            </w:pPr>
          </w:p>
        </w:tc>
        <w:tc>
          <w:tcPr>
            <w:tcW w:w="2272" w:type="dxa"/>
            <w:gridSpan w:val="2"/>
            <w:shd w:val="clear" w:color="auto" w:fill="auto"/>
          </w:tcPr>
          <w:p w:rsidR="00990F55" w:rsidRPr="00F72238" w:rsidRDefault="00990F55" w:rsidP="006349BB">
            <w:pPr>
              <w:pStyle w:val="Sinespaciado"/>
              <w:jc w:val="center"/>
              <w:rPr>
                <w:rFonts w:ascii="Montserrat" w:hAnsi="Montserrat" w:cs="Arial"/>
                <w:b/>
              </w:rPr>
            </w:pPr>
          </w:p>
        </w:tc>
      </w:tr>
      <w:tr w:rsidR="00990F55" w:rsidRPr="00F72238" w:rsidTr="006349BB">
        <w:tc>
          <w:tcPr>
            <w:tcW w:w="2976" w:type="dxa"/>
            <w:gridSpan w:val="2"/>
          </w:tcPr>
          <w:p w:rsidR="00990F55" w:rsidRPr="00F72238" w:rsidRDefault="00990F55" w:rsidP="006349BB">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shd w:val="clear" w:color="auto" w:fill="auto"/>
            <w:hideMark/>
          </w:tcPr>
          <w:p w:rsidR="00990F55" w:rsidRPr="00F72238" w:rsidRDefault="00990F55" w:rsidP="006349BB">
            <w:pPr>
              <w:ind w:right="45"/>
              <w:contextualSpacing/>
              <w:jc w:val="center"/>
              <w:rPr>
                <w:rFonts w:ascii="Montserrat ExtraBold" w:hAnsi="Montserrat ExtraBold" w:cs="Arial"/>
                <w:b/>
                <w:sz w:val="22"/>
                <w:szCs w:val="22"/>
              </w:rPr>
            </w:pPr>
            <w:r w:rsidRPr="00F72238">
              <w:rPr>
                <w:rFonts w:ascii="Montserrat ExtraBold" w:eastAsia="Calibri" w:hAnsi="Montserrat ExtraBold" w:cs="Arial"/>
                <w:b/>
                <w:sz w:val="22"/>
                <w:szCs w:val="22"/>
              </w:rPr>
              <w:t>ELIA GARCÍA MORENO</w:t>
            </w:r>
          </w:p>
        </w:tc>
        <w:tc>
          <w:tcPr>
            <w:tcW w:w="2272" w:type="dxa"/>
            <w:gridSpan w:val="2"/>
            <w:shd w:val="clear" w:color="auto" w:fill="auto"/>
          </w:tcPr>
          <w:p w:rsidR="00990F55" w:rsidRPr="00F72238" w:rsidRDefault="00990F55" w:rsidP="006349BB">
            <w:pPr>
              <w:pStyle w:val="Sinespaciado"/>
              <w:jc w:val="center"/>
              <w:rPr>
                <w:rFonts w:ascii="Montserrat" w:hAnsi="Montserrat" w:cs="Arial"/>
                <w:b/>
              </w:rPr>
            </w:pPr>
          </w:p>
        </w:tc>
      </w:tr>
      <w:tr w:rsidR="00990F55" w:rsidRPr="00F72238" w:rsidTr="006349BB">
        <w:tc>
          <w:tcPr>
            <w:tcW w:w="2273" w:type="dxa"/>
          </w:tcPr>
          <w:p w:rsidR="00990F55" w:rsidRPr="00F72238" w:rsidRDefault="00990F55" w:rsidP="006349BB">
            <w:pPr>
              <w:pStyle w:val="Sinespaciado"/>
              <w:jc w:val="center"/>
              <w:rPr>
                <w:rFonts w:ascii="Montserrat" w:hAnsi="Montserrat" w:cs="Arial"/>
                <w:b/>
              </w:rPr>
            </w:pPr>
          </w:p>
        </w:tc>
        <w:tc>
          <w:tcPr>
            <w:tcW w:w="5774" w:type="dxa"/>
            <w:gridSpan w:val="5"/>
            <w:shd w:val="clear" w:color="auto" w:fill="auto"/>
            <w:hideMark/>
          </w:tcPr>
          <w:p w:rsidR="00990F55" w:rsidRPr="00F72238" w:rsidRDefault="00990F55" w:rsidP="006349BB">
            <w:pPr>
              <w:pStyle w:val="Sinespaciado"/>
              <w:ind w:left="708" w:right="426"/>
              <w:jc w:val="both"/>
              <w:rPr>
                <w:rFonts w:ascii="Montserrat" w:hAnsi="Montserrat"/>
                <w:sz w:val="22"/>
                <w:szCs w:val="22"/>
              </w:rPr>
            </w:pPr>
            <w:r w:rsidRPr="00F72238">
              <w:rPr>
                <w:rFonts w:ascii="Montserrat" w:hAnsi="Montserrat" w:cs="Arial"/>
                <w:sz w:val="22"/>
                <w:szCs w:val="22"/>
              </w:rPr>
              <w:t>Titular de la Unidad de Transparencia y</w:t>
            </w:r>
            <w:r w:rsidRPr="00F72238">
              <w:rPr>
                <w:rFonts w:ascii="Montserrat" w:hAnsi="Montserrat" w:cs="Arial"/>
                <w:sz w:val="22"/>
                <w:szCs w:val="22"/>
              </w:rPr>
              <w:br/>
              <w:t>Presidenta del Comité de Transparencia</w:t>
            </w:r>
            <w:r w:rsidRPr="00F72238">
              <w:rPr>
                <w:rFonts w:ascii="Montserrat" w:hAnsi="Montserrat" w:cs="Arial"/>
                <w:sz w:val="22"/>
                <w:szCs w:val="22"/>
              </w:rPr>
              <w:br/>
            </w:r>
          </w:p>
        </w:tc>
        <w:tc>
          <w:tcPr>
            <w:tcW w:w="1876" w:type="dxa"/>
            <w:shd w:val="clear" w:color="auto" w:fill="auto"/>
          </w:tcPr>
          <w:p w:rsidR="00990F55" w:rsidRPr="00F72238" w:rsidRDefault="00990F55" w:rsidP="006349BB">
            <w:pPr>
              <w:pStyle w:val="Sinespaciado"/>
              <w:jc w:val="center"/>
              <w:rPr>
                <w:rFonts w:ascii="Montserrat" w:hAnsi="Montserrat" w:cs="Arial"/>
                <w:b/>
              </w:rPr>
            </w:pPr>
          </w:p>
        </w:tc>
      </w:tr>
      <w:tr w:rsidR="00990F55" w:rsidRPr="00F72238" w:rsidTr="006349BB">
        <w:tc>
          <w:tcPr>
            <w:tcW w:w="9923" w:type="dxa"/>
            <w:gridSpan w:val="7"/>
            <w:shd w:val="clear" w:color="auto" w:fill="auto"/>
          </w:tcPr>
          <w:p w:rsidR="00990F55" w:rsidRDefault="00990F55" w:rsidP="006349BB">
            <w:pPr>
              <w:pStyle w:val="Sinespaciado"/>
              <w:tabs>
                <w:tab w:val="left" w:pos="2918"/>
              </w:tabs>
              <w:jc w:val="center"/>
              <w:rPr>
                <w:rFonts w:ascii="Montserrat" w:hAnsi="Montserrat" w:cs="Arial"/>
              </w:rPr>
            </w:pPr>
          </w:p>
          <w:p w:rsidR="00402074" w:rsidRPr="00F72238" w:rsidRDefault="00402074" w:rsidP="006349BB">
            <w:pPr>
              <w:pStyle w:val="Sinespaciado"/>
              <w:tabs>
                <w:tab w:val="left" w:pos="2918"/>
              </w:tabs>
              <w:jc w:val="center"/>
              <w:rPr>
                <w:rFonts w:ascii="Montserrat" w:hAnsi="Montserrat" w:cs="Arial"/>
              </w:rPr>
            </w:pPr>
          </w:p>
          <w:p w:rsidR="00990F55" w:rsidRPr="00F72238" w:rsidRDefault="00990F55" w:rsidP="006349BB">
            <w:pPr>
              <w:pStyle w:val="Sinespaciado"/>
              <w:tabs>
                <w:tab w:val="left" w:pos="2918"/>
              </w:tabs>
              <w:jc w:val="center"/>
              <w:rPr>
                <w:rFonts w:ascii="Montserrat" w:hAnsi="Montserrat" w:cs="Arial"/>
              </w:rPr>
            </w:pPr>
          </w:p>
          <w:p w:rsidR="00990F55" w:rsidRPr="00F72238" w:rsidRDefault="00990F55" w:rsidP="006349BB">
            <w:pPr>
              <w:pStyle w:val="Sinespaciado"/>
              <w:tabs>
                <w:tab w:val="left" w:pos="2918"/>
              </w:tabs>
              <w:jc w:val="center"/>
              <w:rPr>
                <w:rFonts w:ascii="Montserrat" w:hAnsi="Montserrat" w:cs="Arial"/>
              </w:rPr>
            </w:pPr>
          </w:p>
        </w:tc>
      </w:tr>
      <w:tr w:rsidR="00990F55" w:rsidRPr="00F72238" w:rsidTr="006349BB">
        <w:tc>
          <w:tcPr>
            <w:tcW w:w="4678" w:type="dxa"/>
            <w:gridSpan w:val="3"/>
            <w:tcBorders>
              <w:bottom w:val="single" w:sz="12" w:space="0" w:color="auto"/>
            </w:tcBorders>
            <w:shd w:val="clear" w:color="auto" w:fill="auto"/>
          </w:tcPr>
          <w:p w:rsidR="00990F55" w:rsidRPr="00F72238" w:rsidRDefault="00990F55" w:rsidP="006349BB">
            <w:pPr>
              <w:pStyle w:val="Sinespaciado"/>
              <w:jc w:val="center"/>
              <w:rPr>
                <w:rFonts w:ascii="Montserrat" w:hAnsi="Montserrat" w:cs="Arial"/>
                <w:b/>
              </w:rPr>
            </w:pPr>
          </w:p>
        </w:tc>
        <w:tc>
          <w:tcPr>
            <w:tcW w:w="425" w:type="dxa"/>
            <w:shd w:val="clear" w:color="auto" w:fill="auto"/>
          </w:tcPr>
          <w:p w:rsidR="00990F55" w:rsidRPr="00F72238" w:rsidRDefault="00990F55" w:rsidP="006349BB">
            <w:pPr>
              <w:pStyle w:val="Sinespaciado"/>
              <w:jc w:val="center"/>
              <w:rPr>
                <w:rFonts w:ascii="Montserrat" w:hAnsi="Montserrat" w:cs="Arial"/>
                <w:b/>
              </w:rPr>
            </w:pPr>
          </w:p>
        </w:tc>
        <w:tc>
          <w:tcPr>
            <w:tcW w:w="4820" w:type="dxa"/>
            <w:gridSpan w:val="3"/>
            <w:tcBorders>
              <w:bottom w:val="single" w:sz="12" w:space="0" w:color="auto"/>
            </w:tcBorders>
            <w:shd w:val="clear" w:color="auto" w:fill="auto"/>
          </w:tcPr>
          <w:p w:rsidR="00990F55" w:rsidRPr="00F72238" w:rsidRDefault="00990F55" w:rsidP="006349BB">
            <w:pPr>
              <w:pStyle w:val="Sinespaciado"/>
              <w:tabs>
                <w:tab w:val="left" w:pos="2918"/>
              </w:tabs>
              <w:rPr>
                <w:rFonts w:ascii="Montserrat" w:hAnsi="Montserrat" w:cs="Arial"/>
                <w:b/>
              </w:rPr>
            </w:pPr>
          </w:p>
        </w:tc>
      </w:tr>
      <w:tr w:rsidR="00990F55" w:rsidRPr="00F72238" w:rsidTr="006349BB">
        <w:tc>
          <w:tcPr>
            <w:tcW w:w="4678" w:type="dxa"/>
            <w:gridSpan w:val="3"/>
            <w:tcBorders>
              <w:top w:val="single" w:sz="12" w:space="0" w:color="auto"/>
            </w:tcBorders>
            <w:shd w:val="clear" w:color="auto" w:fill="auto"/>
            <w:hideMark/>
          </w:tcPr>
          <w:p w:rsidR="00990F55" w:rsidRPr="00F72238" w:rsidRDefault="00990F55" w:rsidP="006349BB">
            <w:pPr>
              <w:contextualSpacing/>
              <w:jc w:val="center"/>
              <w:rPr>
                <w:rFonts w:ascii="Montserrat" w:eastAsia="Calibri" w:hAnsi="Montserrat" w:cs="Arial"/>
                <w:b/>
              </w:rPr>
            </w:pPr>
            <w:r w:rsidRPr="00F72238">
              <w:rPr>
                <w:rFonts w:ascii="Montserrat ExtraBold" w:eastAsia="Calibri" w:hAnsi="Montserrat ExtraBold" w:cs="Arial"/>
                <w:b/>
                <w:sz w:val="22"/>
                <w:szCs w:val="22"/>
              </w:rPr>
              <w:t>OCTAVIO DÍAZ GARCÍA DE LEÓN</w:t>
            </w:r>
          </w:p>
        </w:tc>
        <w:tc>
          <w:tcPr>
            <w:tcW w:w="425" w:type="dxa"/>
            <w:shd w:val="clear" w:color="auto" w:fill="auto"/>
          </w:tcPr>
          <w:p w:rsidR="00990F55" w:rsidRPr="00F72238" w:rsidRDefault="00990F55" w:rsidP="006349BB">
            <w:pPr>
              <w:pStyle w:val="Sinespaciado"/>
              <w:jc w:val="center"/>
              <w:rPr>
                <w:rFonts w:ascii="Montserrat" w:hAnsi="Montserrat" w:cs="Arial"/>
                <w:b/>
              </w:rPr>
            </w:pPr>
          </w:p>
        </w:tc>
        <w:tc>
          <w:tcPr>
            <w:tcW w:w="4820" w:type="dxa"/>
            <w:gridSpan w:val="3"/>
            <w:tcBorders>
              <w:top w:val="single" w:sz="12" w:space="0" w:color="auto"/>
            </w:tcBorders>
            <w:shd w:val="clear" w:color="auto" w:fill="auto"/>
            <w:hideMark/>
          </w:tcPr>
          <w:p w:rsidR="00990F55" w:rsidRPr="00F72238" w:rsidRDefault="00990F55" w:rsidP="006349BB">
            <w:pPr>
              <w:ind w:right="45"/>
              <w:contextualSpacing/>
              <w:jc w:val="center"/>
              <w:rPr>
                <w:rFonts w:ascii="Montserrat ExtraBold" w:eastAsia="Calibri" w:hAnsi="Montserrat ExtraBold" w:cs="Arial"/>
                <w:b/>
                <w:sz w:val="22"/>
                <w:szCs w:val="22"/>
              </w:rPr>
            </w:pPr>
            <w:r w:rsidRPr="00F72238">
              <w:rPr>
                <w:rFonts w:ascii="Montserrat ExtraBold" w:eastAsia="Calibri" w:hAnsi="Montserrat ExtraBold" w:cs="Arial"/>
                <w:b/>
                <w:sz w:val="22"/>
                <w:szCs w:val="22"/>
              </w:rPr>
              <w:t xml:space="preserve">LAURA BEATRIZ MORENO RODRÍGUEZ </w:t>
            </w:r>
          </w:p>
        </w:tc>
      </w:tr>
      <w:tr w:rsidR="00990F55" w:rsidRPr="00A9350A" w:rsidTr="006349BB">
        <w:tc>
          <w:tcPr>
            <w:tcW w:w="4678" w:type="dxa"/>
            <w:gridSpan w:val="3"/>
            <w:shd w:val="clear" w:color="auto" w:fill="auto"/>
            <w:hideMark/>
          </w:tcPr>
          <w:p w:rsidR="00990F55" w:rsidRPr="00F72238" w:rsidRDefault="00990F55" w:rsidP="006349BB">
            <w:pPr>
              <w:jc w:val="both"/>
              <w:rPr>
                <w:rFonts w:ascii="Montserrat" w:hAnsi="Montserrat"/>
                <w:sz w:val="22"/>
                <w:szCs w:val="22"/>
              </w:rPr>
            </w:pPr>
            <w:r w:rsidRPr="00F72238">
              <w:rPr>
                <w:rFonts w:ascii="Montserrat" w:hAnsi="Montserrat"/>
                <w:sz w:val="22"/>
                <w:szCs w:val="22"/>
              </w:rPr>
              <w:t>Titular del Órgano Interno de Control en la Secretaría de Relaciones Exteriores</w:t>
            </w:r>
            <w:r w:rsidRPr="00F72238">
              <w:rPr>
                <w:rFonts w:ascii="Montserrat" w:hAnsi="Montserrat"/>
                <w:sz w:val="22"/>
                <w:szCs w:val="22"/>
              </w:rPr>
              <w:br/>
            </w:r>
          </w:p>
        </w:tc>
        <w:tc>
          <w:tcPr>
            <w:tcW w:w="425" w:type="dxa"/>
            <w:shd w:val="clear" w:color="auto" w:fill="auto"/>
          </w:tcPr>
          <w:p w:rsidR="00990F55" w:rsidRPr="00F72238" w:rsidRDefault="00990F55" w:rsidP="006349BB">
            <w:pPr>
              <w:pStyle w:val="Sinespaciado"/>
              <w:jc w:val="both"/>
              <w:rPr>
                <w:rFonts w:ascii="Montserrat" w:hAnsi="Montserrat" w:cs="Arial"/>
                <w:b/>
              </w:rPr>
            </w:pPr>
          </w:p>
        </w:tc>
        <w:tc>
          <w:tcPr>
            <w:tcW w:w="4820" w:type="dxa"/>
            <w:gridSpan w:val="3"/>
            <w:shd w:val="clear" w:color="auto" w:fill="auto"/>
            <w:hideMark/>
          </w:tcPr>
          <w:p w:rsidR="00990F55" w:rsidRPr="00A9350A" w:rsidRDefault="00990F55" w:rsidP="006349BB">
            <w:pPr>
              <w:tabs>
                <w:tab w:val="left" w:pos="4038"/>
              </w:tabs>
              <w:ind w:left="34"/>
              <w:jc w:val="both"/>
              <w:rPr>
                <w:rFonts w:ascii="Montserrat" w:hAnsi="Montserrat"/>
                <w:sz w:val="22"/>
                <w:szCs w:val="22"/>
              </w:rPr>
            </w:pPr>
            <w:r w:rsidRPr="00F72238">
              <w:rPr>
                <w:rFonts w:ascii="Montserrat" w:hAnsi="Montserrat"/>
                <w:sz w:val="22"/>
                <w:szCs w:val="22"/>
              </w:rPr>
              <w:t>Directora General del Acervo Histórico Diplomático y Coordinadora de Archivos de la Secretaría de Relaciones Exteriores</w:t>
            </w:r>
            <w:r w:rsidRPr="00A9350A">
              <w:rPr>
                <w:rFonts w:ascii="Montserrat" w:hAnsi="Montserrat"/>
                <w:sz w:val="22"/>
                <w:szCs w:val="22"/>
              </w:rPr>
              <w:br/>
            </w:r>
          </w:p>
        </w:tc>
      </w:tr>
    </w:tbl>
    <w:p w:rsidR="00990F55" w:rsidRPr="00616156" w:rsidRDefault="00990F55" w:rsidP="00990F55">
      <w:pPr>
        <w:autoSpaceDE w:val="0"/>
        <w:autoSpaceDN w:val="0"/>
        <w:adjustRightInd w:val="0"/>
        <w:jc w:val="both"/>
        <w:rPr>
          <w:rFonts w:ascii="Montserrat" w:hAnsi="Montserrat"/>
          <w:sz w:val="2"/>
          <w:szCs w:val="2"/>
        </w:rPr>
      </w:pPr>
    </w:p>
    <w:p w:rsidR="00920E80" w:rsidRPr="00A71D30" w:rsidRDefault="00920E80" w:rsidP="00990F55">
      <w:pPr>
        <w:autoSpaceDE w:val="0"/>
        <w:autoSpaceDN w:val="0"/>
        <w:adjustRightInd w:val="0"/>
        <w:jc w:val="both"/>
        <w:rPr>
          <w:rFonts w:ascii="Montserrat" w:hAnsi="Montserrat"/>
          <w:sz w:val="2"/>
          <w:szCs w:val="2"/>
        </w:rPr>
      </w:pPr>
    </w:p>
    <w:sectPr w:rsidR="00920E80" w:rsidRPr="00A71D30" w:rsidSect="00F72238">
      <w:headerReference w:type="even" r:id="rId7"/>
      <w:headerReference w:type="default" r:id="rId8"/>
      <w:footerReference w:type="default" r:id="rId9"/>
      <w:headerReference w:type="first" r:id="rId10"/>
      <w:pgSz w:w="12240" w:h="15840"/>
      <w:pgMar w:top="3261" w:right="1183" w:bottom="1560" w:left="1134" w:header="851"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3F" w:rsidRDefault="00602E3F">
      <w:r>
        <w:separator/>
      </w:r>
    </w:p>
  </w:endnote>
  <w:endnote w:type="continuationSeparator" w:id="0">
    <w:p w:rsidR="00602E3F" w:rsidRDefault="0060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654980578"/>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660545431"/>
          <w:docPartObj>
            <w:docPartGallery w:val="Page Numbers (Top of Page)"/>
            <w:docPartUnique/>
          </w:docPartObj>
        </w:sdtPr>
        <w:sdtEndPr>
          <w:rPr>
            <w:rFonts w:cstheme="minorHAnsi"/>
            <w:color w:val="806000" w:themeColor="accent4" w:themeShade="80"/>
            <w:sz w:val="14"/>
            <w:szCs w:val="14"/>
          </w:rPr>
        </w:sdtEndPr>
        <w:sdtContent>
          <w:p w:rsidR="00A17232" w:rsidRDefault="00390A74"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A17232" w:rsidRPr="007C377C" w:rsidRDefault="00711A46" w:rsidP="00A17232">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A17232" w:rsidRDefault="00711A46" w:rsidP="00A17232">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00815E98" w:rsidRPr="00FD712B">
                <w:rPr>
                  <w:rStyle w:val="Hipervnculo"/>
                  <w:rFonts w:ascii="Montserrat" w:hAnsi="Montserrat" w:cstheme="minorHAnsi"/>
                  <w:color w:val="800000"/>
                  <w:sz w:val="16"/>
                  <w:szCs w:val="16"/>
                </w:rPr>
                <w:t>comite.transparencia@sre.gob.mx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rsidR="00A17232" w:rsidRPr="008C5B0C" w:rsidRDefault="00390A74"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A17232" w:rsidRPr="00C01812" w:rsidRDefault="00711A46"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390A74">
              <w:rPr>
                <w:rFonts w:ascii="Montserrat" w:hAnsi="Montserrat" w:cstheme="minorHAnsi"/>
                <w:b/>
                <w:noProof/>
                <w:color w:val="806000" w:themeColor="accent4" w:themeShade="80"/>
                <w:sz w:val="14"/>
                <w:szCs w:val="14"/>
              </w:rPr>
              <w:t>16</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390A74">
              <w:rPr>
                <w:rFonts w:ascii="Montserrat" w:hAnsi="Montserrat" w:cstheme="minorHAnsi"/>
                <w:b/>
                <w:noProof/>
                <w:color w:val="806000" w:themeColor="accent4" w:themeShade="80"/>
                <w:sz w:val="14"/>
                <w:szCs w:val="14"/>
              </w:rPr>
              <w:t>16</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3F" w:rsidRDefault="00602E3F">
      <w:r>
        <w:separator/>
      </w:r>
    </w:p>
  </w:footnote>
  <w:footnote w:type="continuationSeparator" w:id="0">
    <w:p w:rsidR="00602E3F" w:rsidRDefault="00602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390A74">
    <w:pPr>
      <w:pStyle w:val="Encabezado"/>
    </w:pPr>
    <w:r>
      <w:rPr>
        <w:noProof/>
        <w:lang w:eastAsia="es-MX"/>
      </w:rPr>
      <w:pict w14:anchorId="745AD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0" type="#_x0000_t75" style="position:absolute;margin-left:0;margin-top:0;width:672.25pt;height:794.55pt;z-index:-251656192;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8B" w:rsidRPr="00756718" w:rsidRDefault="00390A74" w:rsidP="00756718">
    <w:pPr>
      <w:spacing w:after="120"/>
      <w:jc w:val="right"/>
      <w:rPr>
        <w:rFonts w:ascii="GMX Bold" w:eastAsia="Times" w:hAnsi="GMX Bold"/>
        <w:sz w:val="20"/>
        <w:szCs w:val="20"/>
        <w:lang w:val="es-ES_tradnl" w:eastAsia="es-MX"/>
      </w:rPr>
    </w:pPr>
    <w:r>
      <w:rPr>
        <w:rFonts w:ascii="GMX Bold" w:eastAsia="Times" w:hAnsi="GMX Bold"/>
        <w:sz w:val="20"/>
        <w:szCs w:val="20"/>
        <w:lang w:val="es-ES_tradnl" w:eastAsia="es-MX"/>
      </w:rPr>
      <w:pict w14:anchorId="5B1B6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1" type="#_x0000_t75" style="position:absolute;left:0;text-align:left;margin-left:-85.05pt;margin-top:-138.25pt;width:672.25pt;height:794.55pt;z-index:-251655168;mso-position-horizontal-relative:margin;mso-position-vertical-relative:margin" o:allowincell="f">
          <v:imagedata r:id="rId1" o:title="Marca de agua"/>
          <w10:wrap anchorx="margin" anchory="margin"/>
        </v:shape>
      </w:pict>
    </w:r>
    <w:r w:rsidR="00711A46" w:rsidRPr="00756718">
      <w:rPr>
        <w:rFonts w:ascii="GMX Bold" w:eastAsia="Times" w:hAnsi="GMX Bold"/>
        <w:noProof/>
        <w:sz w:val="20"/>
        <w:szCs w:val="20"/>
        <w:lang w:eastAsia="es-MX"/>
      </w:rPr>
      <w:drawing>
        <wp:anchor distT="0" distB="0" distL="114300" distR="114300" simplePos="0" relativeHeight="251662336" behindDoc="1" locked="0" layoutInCell="1" allowOverlap="1" wp14:anchorId="459D1D2F" wp14:editId="37757A21">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A46" w:rsidRPr="00756718">
      <w:rPr>
        <w:rFonts w:ascii="GMX Bold" w:eastAsia="Times" w:hAnsi="GMX Bold"/>
        <w:sz w:val="20"/>
        <w:szCs w:val="20"/>
        <w:lang w:val="es-ES_tradnl" w:eastAsia="es-MX"/>
      </w:rPr>
      <w:t>COMITÉ DE TRANSPARENCIA</w:t>
    </w:r>
  </w:p>
  <w:p w:rsidR="00756718" w:rsidRPr="0054057A" w:rsidRDefault="00711A46"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Pr="0054057A">
      <w:rPr>
        <w:rFonts w:ascii="Montserrat" w:hAnsi="Montserrat"/>
        <w:color w:val="262626" w:themeColor="text1" w:themeTint="D9"/>
        <w:sz w:val="18"/>
        <w:szCs w:val="18"/>
        <w:lang w:eastAsia="es-ES"/>
      </w:rPr>
      <w:t>CTA-</w:t>
    </w:r>
    <w:r w:rsidR="0054057A" w:rsidRPr="0054057A">
      <w:rPr>
        <w:rFonts w:ascii="Montserrat" w:hAnsi="Montserrat"/>
        <w:color w:val="262626" w:themeColor="text1" w:themeTint="D9"/>
        <w:sz w:val="18"/>
        <w:szCs w:val="18"/>
        <w:lang w:eastAsia="es-ES"/>
      </w:rPr>
      <w:t>143</w:t>
    </w:r>
    <w:r w:rsidRPr="0054057A">
      <w:rPr>
        <w:rFonts w:ascii="Montserrat" w:hAnsi="Montserrat"/>
        <w:color w:val="262626" w:themeColor="text1" w:themeTint="D9"/>
        <w:sz w:val="18"/>
        <w:szCs w:val="18"/>
        <w:lang w:eastAsia="es-ES"/>
      </w:rPr>
      <w:t>/2019</w:t>
    </w:r>
  </w:p>
  <w:p w:rsidR="00756718" w:rsidRPr="008828B2" w:rsidRDefault="00711A46" w:rsidP="00756718">
    <w:pPr>
      <w:spacing w:after="60"/>
      <w:jc w:val="right"/>
      <w:rPr>
        <w:rFonts w:ascii="Montserrat" w:hAnsi="Montserrat" w:cs="Arial"/>
        <w:sz w:val="18"/>
        <w:szCs w:val="18"/>
      </w:rPr>
    </w:pPr>
    <w:r w:rsidRPr="008828B2">
      <w:rPr>
        <w:rFonts w:ascii="Montserrat" w:hAnsi="Montserrat"/>
        <w:b/>
        <w:color w:val="262626" w:themeColor="text1" w:themeTint="D9"/>
        <w:sz w:val="18"/>
        <w:szCs w:val="18"/>
        <w:lang w:eastAsia="es-ES"/>
      </w:rPr>
      <w:t xml:space="preserve">Folio </w:t>
    </w:r>
    <w:r w:rsidR="008C5EA2" w:rsidRPr="008828B2">
      <w:rPr>
        <w:rFonts w:ascii="Montserrat" w:hAnsi="Montserrat" w:cs="Arial"/>
        <w:sz w:val="18"/>
        <w:szCs w:val="18"/>
      </w:rPr>
      <w:t>0000500</w:t>
    </w:r>
    <w:r w:rsidR="00C24996" w:rsidRPr="008828B2">
      <w:rPr>
        <w:rFonts w:ascii="Montserrat" w:hAnsi="Montserrat" w:cs="Arial"/>
        <w:sz w:val="18"/>
        <w:szCs w:val="18"/>
      </w:rPr>
      <w:t>003819</w:t>
    </w:r>
  </w:p>
  <w:p w:rsidR="00AC5D13" w:rsidRPr="008828B2" w:rsidRDefault="00AC5D13" w:rsidP="00AC5D13">
    <w:pPr>
      <w:spacing w:after="60"/>
      <w:jc w:val="right"/>
      <w:rPr>
        <w:rFonts w:ascii="Montserrat" w:hAnsi="Montserrat"/>
        <w:color w:val="262626" w:themeColor="text1" w:themeTint="D9"/>
        <w:sz w:val="18"/>
        <w:szCs w:val="18"/>
        <w:lang w:eastAsia="es-ES"/>
      </w:rPr>
    </w:pPr>
    <w:r w:rsidRPr="008828B2">
      <w:rPr>
        <w:rFonts w:ascii="Montserrat" w:hAnsi="Montserrat"/>
        <w:b/>
        <w:color w:val="262626" w:themeColor="text1" w:themeTint="D9"/>
        <w:sz w:val="18"/>
        <w:szCs w:val="18"/>
        <w:lang w:eastAsia="es-ES"/>
      </w:rPr>
      <w:t xml:space="preserve">Recurso de Revisión </w:t>
    </w:r>
    <w:r w:rsidR="00D925AA" w:rsidRPr="008828B2">
      <w:rPr>
        <w:rFonts w:ascii="Montserrat" w:hAnsi="Montserrat" w:cs="Arial"/>
        <w:sz w:val="18"/>
        <w:szCs w:val="18"/>
      </w:rPr>
      <w:t xml:space="preserve">RRA </w:t>
    </w:r>
    <w:r w:rsidR="00B012C3" w:rsidRPr="008828B2">
      <w:rPr>
        <w:rFonts w:ascii="Montserrat" w:hAnsi="Montserrat" w:cs="Arial"/>
        <w:sz w:val="18"/>
        <w:szCs w:val="18"/>
      </w:rPr>
      <w:t>15</w:t>
    </w:r>
    <w:r w:rsidR="00C24996" w:rsidRPr="008828B2">
      <w:rPr>
        <w:rFonts w:ascii="Montserrat" w:hAnsi="Montserrat" w:cs="Arial"/>
        <w:sz w:val="18"/>
        <w:szCs w:val="18"/>
      </w:rPr>
      <w:t>42</w:t>
    </w:r>
    <w:r w:rsidR="000B3B57" w:rsidRPr="008828B2">
      <w:rPr>
        <w:rFonts w:ascii="Montserrat" w:hAnsi="Montserrat" w:cs="Arial"/>
        <w:sz w:val="18"/>
        <w:szCs w:val="18"/>
      </w:rPr>
      <w:t>/19</w:t>
    </w:r>
  </w:p>
  <w:p w:rsidR="00756718" w:rsidRPr="008828B2" w:rsidRDefault="00711A46" w:rsidP="00756718">
    <w:pPr>
      <w:spacing w:after="60"/>
      <w:jc w:val="right"/>
      <w:rPr>
        <w:rFonts w:ascii="Montserrat" w:hAnsi="Montserrat"/>
        <w:color w:val="262626" w:themeColor="text1" w:themeTint="D9"/>
        <w:sz w:val="18"/>
        <w:szCs w:val="18"/>
        <w:lang w:eastAsia="es-ES"/>
      </w:rPr>
    </w:pPr>
    <w:r w:rsidRPr="008828B2">
      <w:rPr>
        <w:rFonts w:ascii="Montserrat" w:hAnsi="Montserrat"/>
        <w:b/>
        <w:color w:val="262626" w:themeColor="text1" w:themeTint="D9"/>
        <w:sz w:val="18"/>
        <w:szCs w:val="18"/>
        <w:lang w:eastAsia="es-ES"/>
      </w:rPr>
      <w:t xml:space="preserve">Asunto: </w:t>
    </w:r>
    <w:r w:rsidRPr="008828B2">
      <w:rPr>
        <w:rFonts w:ascii="Montserrat" w:hAnsi="Montserrat"/>
        <w:color w:val="262626" w:themeColor="text1" w:themeTint="D9"/>
        <w:sz w:val="18"/>
        <w:szCs w:val="18"/>
        <w:lang w:eastAsia="es-ES"/>
      </w:rPr>
      <w:t>Clasificación de información</w:t>
    </w:r>
  </w:p>
  <w:p w:rsidR="00B54E40" w:rsidRPr="008828B2" w:rsidRDefault="00C24996" w:rsidP="00B54E40">
    <w:pPr>
      <w:jc w:val="right"/>
      <w:rPr>
        <w:rFonts w:ascii="Montserrat" w:hAnsi="Montserrat"/>
        <w:b/>
        <w:color w:val="262626" w:themeColor="text1" w:themeTint="D9"/>
        <w:sz w:val="18"/>
        <w:szCs w:val="18"/>
        <w:lang w:eastAsia="es-ES"/>
      </w:rPr>
    </w:pPr>
    <w:r w:rsidRPr="008828B2">
      <w:rPr>
        <w:rFonts w:ascii="Montserrat" w:hAnsi="Montserrat"/>
        <w:b/>
        <w:color w:val="262626" w:themeColor="text1" w:themeTint="D9"/>
        <w:sz w:val="18"/>
        <w:szCs w:val="18"/>
        <w:lang w:eastAsia="es-ES"/>
      </w:rPr>
      <w:t>RESERVADA</w:t>
    </w:r>
  </w:p>
  <w:p w:rsidR="00EC57DB" w:rsidRDefault="00390A74" w:rsidP="00EC57DB">
    <w:pPr>
      <w:jc w:val="right"/>
      <w:rPr>
        <w:rFonts w:ascii="Montserrat" w:eastAsia="Times" w:hAnsi="Montserrat"/>
        <w:color w:val="0D0D0D" w:themeColor="text1" w:themeTint="F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390A74">
    <w:pPr>
      <w:pStyle w:val="Encabezado"/>
    </w:pPr>
    <w:r>
      <w:rPr>
        <w:noProof/>
        <w:lang w:eastAsia="es-MX"/>
      </w:rPr>
      <w:pict w14:anchorId="30DB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49"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3E1"/>
    <w:multiLevelType w:val="hybridMultilevel"/>
    <w:tmpl w:val="C7A810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AA34E6"/>
    <w:multiLevelType w:val="hybridMultilevel"/>
    <w:tmpl w:val="91A4DA86"/>
    <w:lvl w:ilvl="0" w:tplc="08888BB4">
      <w:start w:val="1"/>
      <w:numFmt w:val="upperRoman"/>
      <w:lvlText w:val="%1."/>
      <w:lvlJc w:val="left"/>
      <w:pPr>
        <w:ind w:left="360" w:hanging="360"/>
      </w:pPr>
      <w:rPr>
        <w:rFonts w:hint="default"/>
        <w:b/>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2" w15:restartNumberingAfterBreak="0">
    <w:nsid w:val="160326E1"/>
    <w:multiLevelType w:val="hybridMultilevel"/>
    <w:tmpl w:val="FEB4C8E8"/>
    <w:lvl w:ilvl="0" w:tplc="E0A252A4">
      <w:start w:val="1"/>
      <w:numFmt w:val="decimal"/>
      <w:lvlText w:val="%1."/>
      <w:lvlJc w:val="left"/>
      <w:pPr>
        <w:ind w:left="927" w:hanging="360"/>
      </w:pPr>
      <w:rPr>
        <w:rFonts w:hint="default"/>
      </w:rPr>
    </w:lvl>
    <w:lvl w:ilvl="1" w:tplc="E3C24AE0">
      <w:start w:val="1"/>
      <w:numFmt w:val="lowerLetter"/>
      <w:lvlText w:val="%2)"/>
      <w:lvlJc w:val="left"/>
      <w:pPr>
        <w:ind w:left="1692" w:hanging="405"/>
      </w:pPr>
      <w:rPr>
        <w:rFonts w:hint="default"/>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C11665E"/>
    <w:multiLevelType w:val="hybridMultilevel"/>
    <w:tmpl w:val="74DC77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8F4ED2"/>
    <w:multiLevelType w:val="hybridMultilevel"/>
    <w:tmpl w:val="49E8B720"/>
    <w:lvl w:ilvl="0" w:tplc="E0A252A4">
      <w:start w:val="1"/>
      <w:numFmt w:val="decimal"/>
      <w:lvlText w:val="%1."/>
      <w:lvlJc w:val="left"/>
      <w:pPr>
        <w:ind w:left="1921" w:hanging="360"/>
      </w:pPr>
      <w:rPr>
        <w:rFonts w:hint="default"/>
      </w:rPr>
    </w:lvl>
    <w:lvl w:ilvl="1" w:tplc="080A0019" w:tentative="1">
      <w:start w:val="1"/>
      <w:numFmt w:val="lowerLetter"/>
      <w:lvlText w:val="%2."/>
      <w:lvlJc w:val="left"/>
      <w:pPr>
        <w:ind w:left="2434" w:hanging="360"/>
      </w:pPr>
    </w:lvl>
    <w:lvl w:ilvl="2" w:tplc="080A001B" w:tentative="1">
      <w:start w:val="1"/>
      <w:numFmt w:val="lowerRoman"/>
      <w:lvlText w:val="%3."/>
      <w:lvlJc w:val="right"/>
      <w:pPr>
        <w:ind w:left="3154" w:hanging="180"/>
      </w:pPr>
    </w:lvl>
    <w:lvl w:ilvl="3" w:tplc="080A000F" w:tentative="1">
      <w:start w:val="1"/>
      <w:numFmt w:val="decimal"/>
      <w:lvlText w:val="%4."/>
      <w:lvlJc w:val="left"/>
      <w:pPr>
        <w:ind w:left="3874" w:hanging="360"/>
      </w:pPr>
    </w:lvl>
    <w:lvl w:ilvl="4" w:tplc="080A0019" w:tentative="1">
      <w:start w:val="1"/>
      <w:numFmt w:val="lowerLetter"/>
      <w:lvlText w:val="%5."/>
      <w:lvlJc w:val="left"/>
      <w:pPr>
        <w:ind w:left="4594" w:hanging="360"/>
      </w:pPr>
    </w:lvl>
    <w:lvl w:ilvl="5" w:tplc="080A001B" w:tentative="1">
      <w:start w:val="1"/>
      <w:numFmt w:val="lowerRoman"/>
      <w:lvlText w:val="%6."/>
      <w:lvlJc w:val="right"/>
      <w:pPr>
        <w:ind w:left="5314" w:hanging="180"/>
      </w:pPr>
    </w:lvl>
    <w:lvl w:ilvl="6" w:tplc="080A000F" w:tentative="1">
      <w:start w:val="1"/>
      <w:numFmt w:val="decimal"/>
      <w:lvlText w:val="%7."/>
      <w:lvlJc w:val="left"/>
      <w:pPr>
        <w:ind w:left="6034" w:hanging="360"/>
      </w:pPr>
    </w:lvl>
    <w:lvl w:ilvl="7" w:tplc="080A0019" w:tentative="1">
      <w:start w:val="1"/>
      <w:numFmt w:val="lowerLetter"/>
      <w:lvlText w:val="%8."/>
      <w:lvlJc w:val="left"/>
      <w:pPr>
        <w:ind w:left="6754" w:hanging="360"/>
      </w:pPr>
    </w:lvl>
    <w:lvl w:ilvl="8" w:tplc="080A001B" w:tentative="1">
      <w:start w:val="1"/>
      <w:numFmt w:val="lowerRoman"/>
      <w:lvlText w:val="%9."/>
      <w:lvlJc w:val="right"/>
      <w:pPr>
        <w:ind w:left="7474" w:hanging="180"/>
      </w:pPr>
    </w:lvl>
  </w:abstractNum>
  <w:abstractNum w:abstractNumId="6" w15:restartNumberingAfterBreak="0">
    <w:nsid w:val="26567991"/>
    <w:multiLevelType w:val="hybridMultilevel"/>
    <w:tmpl w:val="84FC358A"/>
    <w:lvl w:ilvl="0" w:tplc="596C0D2E">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7E6C6A"/>
    <w:multiLevelType w:val="hybridMultilevel"/>
    <w:tmpl w:val="7AA48638"/>
    <w:lvl w:ilvl="0" w:tplc="A0D8090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D9B5A02"/>
    <w:multiLevelType w:val="hybridMultilevel"/>
    <w:tmpl w:val="9A1EECB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F5B01B5"/>
    <w:multiLevelType w:val="hybridMultilevel"/>
    <w:tmpl w:val="FB1E624E"/>
    <w:lvl w:ilvl="0" w:tplc="080A0001">
      <w:start w:val="1"/>
      <w:numFmt w:val="bullet"/>
      <w:lvlText w:val=""/>
      <w:lvlJc w:val="left"/>
      <w:pPr>
        <w:ind w:left="291" w:hanging="360"/>
      </w:pPr>
      <w:rPr>
        <w:rFonts w:ascii="Symbol" w:hAnsi="Symbol" w:hint="default"/>
      </w:rPr>
    </w:lvl>
    <w:lvl w:ilvl="1" w:tplc="080A0003">
      <w:start w:val="1"/>
      <w:numFmt w:val="bullet"/>
      <w:lvlText w:val="o"/>
      <w:lvlJc w:val="left"/>
      <w:pPr>
        <w:ind w:left="1011" w:hanging="360"/>
      </w:pPr>
      <w:rPr>
        <w:rFonts w:ascii="Courier New" w:hAnsi="Courier New" w:cs="Courier New" w:hint="default"/>
      </w:rPr>
    </w:lvl>
    <w:lvl w:ilvl="2" w:tplc="080A0005">
      <w:start w:val="1"/>
      <w:numFmt w:val="bullet"/>
      <w:lvlText w:val=""/>
      <w:lvlJc w:val="left"/>
      <w:pPr>
        <w:ind w:left="1731" w:hanging="360"/>
      </w:pPr>
      <w:rPr>
        <w:rFonts w:ascii="Wingdings" w:hAnsi="Wingdings" w:hint="default"/>
      </w:rPr>
    </w:lvl>
    <w:lvl w:ilvl="3" w:tplc="080A0001">
      <w:start w:val="1"/>
      <w:numFmt w:val="bullet"/>
      <w:lvlText w:val=""/>
      <w:lvlJc w:val="left"/>
      <w:pPr>
        <w:ind w:left="2451" w:hanging="360"/>
      </w:pPr>
      <w:rPr>
        <w:rFonts w:ascii="Symbol" w:hAnsi="Symbol" w:hint="default"/>
      </w:rPr>
    </w:lvl>
    <w:lvl w:ilvl="4" w:tplc="080A0003">
      <w:start w:val="1"/>
      <w:numFmt w:val="bullet"/>
      <w:lvlText w:val="o"/>
      <w:lvlJc w:val="left"/>
      <w:pPr>
        <w:ind w:left="3171" w:hanging="360"/>
      </w:pPr>
      <w:rPr>
        <w:rFonts w:ascii="Courier New" w:hAnsi="Courier New" w:cs="Courier New" w:hint="default"/>
      </w:rPr>
    </w:lvl>
    <w:lvl w:ilvl="5" w:tplc="080A0005">
      <w:start w:val="1"/>
      <w:numFmt w:val="bullet"/>
      <w:lvlText w:val=""/>
      <w:lvlJc w:val="left"/>
      <w:pPr>
        <w:ind w:left="3891" w:hanging="360"/>
      </w:pPr>
      <w:rPr>
        <w:rFonts w:ascii="Wingdings" w:hAnsi="Wingdings" w:hint="default"/>
      </w:rPr>
    </w:lvl>
    <w:lvl w:ilvl="6" w:tplc="080A0001">
      <w:start w:val="1"/>
      <w:numFmt w:val="bullet"/>
      <w:lvlText w:val=""/>
      <w:lvlJc w:val="left"/>
      <w:pPr>
        <w:ind w:left="4611" w:hanging="360"/>
      </w:pPr>
      <w:rPr>
        <w:rFonts w:ascii="Symbol" w:hAnsi="Symbol" w:hint="default"/>
      </w:rPr>
    </w:lvl>
    <w:lvl w:ilvl="7" w:tplc="080A0003">
      <w:start w:val="1"/>
      <w:numFmt w:val="bullet"/>
      <w:lvlText w:val="o"/>
      <w:lvlJc w:val="left"/>
      <w:pPr>
        <w:ind w:left="5331" w:hanging="360"/>
      </w:pPr>
      <w:rPr>
        <w:rFonts w:ascii="Courier New" w:hAnsi="Courier New" w:cs="Courier New" w:hint="default"/>
      </w:rPr>
    </w:lvl>
    <w:lvl w:ilvl="8" w:tplc="080A0005">
      <w:start w:val="1"/>
      <w:numFmt w:val="bullet"/>
      <w:lvlText w:val=""/>
      <w:lvlJc w:val="left"/>
      <w:pPr>
        <w:ind w:left="6051" w:hanging="360"/>
      </w:pPr>
      <w:rPr>
        <w:rFonts w:ascii="Wingdings" w:hAnsi="Wingdings" w:hint="default"/>
      </w:rPr>
    </w:lvl>
  </w:abstractNum>
  <w:abstractNum w:abstractNumId="10" w15:restartNumberingAfterBreak="0">
    <w:nsid w:val="324E0FE5"/>
    <w:multiLevelType w:val="hybridMultilevel"/>
    <w:tmpl w:val="204E97E2"/>
    <w:lvl w:ilvl="0" w:tplc="8C004804">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1" w15:restartNumberingAfterBreak="0">
    <w:nsid w:val="34252FC7"/>
    <w:multiLevelType w:val="hybridMultilevel"/>
    <w:tmpl w:val="35A45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4038A8"/>
    <w:multiLevelType w:val="hybridMultilevel"/>
    <w:tmpl w:val="8C3C8644"/>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3" w15:restartNumberingAfterBreak="0">
    <w:nsid w:val="4C6877F4"/>
    <w:multiLevelType w:val="hybridMultilevel"/>
    <w:tmpl w:val="78AC02A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3E11C1"/>
    <w:multiLevelType w:val="hybridMultilevel"/>
    <w:tmpl w:val="90E64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983139"/>
    <w:multiLevelType w:val="hybridMultilevel"/>
    <w:tmpl w:val="1E5C31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3D72F35"/>
    <w:multiLevelType w:val="hybridMultilevel"/>
    <w:tmpl w:val="5F8E48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4AB6A4D"/>
    <w:multiLevelType w:val="hybridMultilevel"/>
    <w:tmpl w:val="ACFE10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DDF6CCE"/>
    <w:multiLevelType w:val="hybridMultilevel"/>
    <w:tmpl w:val="DF4CF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FC69E2"/>
    <w:multiLevelType w:val="hybridMultilevel"/>
    <w:tmpl w:val="C70A41FC"/>
    <w:lvl w:ilvl="0" w:tplc="75E08460">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E43947"/>
    <w:multiLevelType w:val="hybridMultilevel"/>
    <w:tmpl w:val="527E1B5E"/>
    <w:lvl w:ilvl="0" w:tplc="080A0001">
      <w:start w:val="1"/>
      <w:numFmt w:val="bullet"/>
      <w:lvlText w:val=""/>
      <w:lvlJc w:val="left"/>
      <w:pPr>
        <w:ind w:left="4283" w:hanging="360"/>
      </w:pPr>
      <w:rPr>
        <w:rFonts w:ascii="Symbol" w:hAnsi="Symbol" w:hint="default"/>
      </w:rPr>
    </w:lvl>
    <w:lvl w:ilvl="1" w:tplc="080A0003">
      <w:start w:val="1"/>
      <w:numFmt w:val="bullet"/>
      <w:lvlText w:val="o"/>
      <w:lvlJc w:val="left"/>
      <w:pPr>
        <w:ind w:left="5003" w:hanging="360"/>
      </w:pPr>
      <w:rPr>
        <w:rFonts w:ascii="Courier New" w:hAnsi="Courier New" w:cs="Courier New" w:hint="default"/>
      </w:rPr>
    </w:lvl>
    <w:lvl w:ilvl="2" w:tplc="080A0005">
      <w:start w:val="1"/>
      <w:numFmt w:val="bullet"/>
      <w:lvlText w:val=""/>
      <w:lvlJc w:val="left"/>
      <w:pPr>
        <w:ind w:left="5723" w:hanging="360"/>
      </w:pPr>
      <w:rPr>
        <w:rFonts w:ascii="Wingdings" w:hAnsi="Wingdings" w:hint="default"/>
      </w:rPr>
    </w:lvl>
    <w:lvl w:ilvl="3" w:tplc="080A0001">
      <w:start w:val="1"/>
      <w:numFmt w:val="bullet"/>
      <w:lvlText w:val=""/>
      <w:lvlJc w:val="left"/>
      <w:pPr>
        <w:ind w:left="6443" w:hanging="360"/>
      </w:pPr>
      <w:rPr>
        <w:rFonts w:ascii="Symbol" w:hAnsi="Symbol" w:hint="default"/>
      </w:rPr>
    </w:lvl>
    <w:lvl w:ilvl="4" w:tplc="080A0003">
      <w:start w:val="1"/>
      <w:numFmt w:val="bullet"/>
      <w:lvlText w:val="o"/>
      <w:lvlJc w:val="left"/>
      <w:pPr>
        <w:ind w:left="7163" w:hanging="360"/>
      </w:pPr>
      <w:rPr>
        <w:rFonts w:ascii="Courier New" w:hAnsi="Courier New" w:cs="Courier New" w:hint="default"/>
      </w:rPr>
    </w:lvl>
    <w:lvl w:ilvl="5" w:tplc="080A0005">
      <w:start w:val="1"/>
      <w:numFmt w:val="bullet"/>
      <w:lvlText w:val=""/>
      <w:lvlJc w:val="left"/>
      <w:pPr>
        <w:ind w:left="7883" w:hanging="360"/>
      </w:pPr>
      <w:rPr>
        <w:rFonts w:ascii="Wingdings" w:hAnsi="Wingdings" w:hint="default"/>
      </w:rPr>
    </w:lvl>
    <w:lvl w:ilvl="6" w:tplc="080A0001">
      <w:start w:val="1"/>
      <w:numFmt w:val="bullet"/>
      <w:lvlText w:val=""/>
      <w:lvlJc w:val="left"/>
      <w:pPr>
        <w:ind w:left="8603" w:hanging="360"/>
      </w:pPr>
      <w:rPr>
        <w:rFonts w:ascii="Symbol" w:hAnsi="Symbol" w:hint="default"/>
      </w:rPr>
    </w:lvl>
    <w:lvl w:ilvl="7" w:tplc="080A0003">
      <w:start w:val="1"/>
      <w:numFmt w:val="bullet"/>
      <w:lvlText w:val="o"/>
      <w:lvlJc w:val="left"/>
      <w:pPr>
        <w:ind w:left="9323" w:hanging="360"/>
      </w:pPr>
      <w:rPr>
        <w:rFonts w:ascii="Courier New" w:hAnsi="Courier New" w:cs="Courier New" w:hint="default"/>
      </w:rPr>
    </w:lvl>
    <w:lvl w:ilvl="8" w:tplc="080A0005">
      <w:start w:val="1"/>
      <w:numFmt w:val="bullet"/>
      <w:lvlText w:val=""/>
      <w:lvlJc w:val="left"/>
      <w:pPr>
        <w:ind w:left="10043" w:hanging="360"/>
      </w:pPr>
      <w:rPr>
        <w:rFonts w:ascii="Wingdings" w:hAnsi="Wingdings" w:hint="default"/>
      </w:rPr>
    </w:lvl>
  </w:abstractNum>
  <w:abstractNum w:abstractNumId="22" w15:restartNumberingAfterBreak="0">
    <w:nsid w:val="62C61DA0"/>
    <w:multiLevelType w:val="hybridMultilevel"/>
    <w:tmpl w:val="2CEEE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A32F0A"/>
    <w:multiLevelType w:val="hybridMultilevel"/>
    <w:tmpl w:val="726E7926"/>
    <w:lvl w:ilvl="0" w:tplc="0206ED18">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4"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5" w15:restartNumberingAfterBreak="0">
    <w:nsid w:val="7B166107"/>
    <w:multiLevelType w:val="hybridMultilevel"/>
    <w:tmpl w:val="1E888F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B831DB3"/>
    <w:multiLevelType w:val="hybridMultilevel"/>
    <w:tmpl w:val="5E148C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num w:numId="1">
    <w:abstractNumId w:val="15"/>
  </w:num>
  <w:num w:numId="2">
    <w:abstractNumId w:val="24"/>
  </w:num>
  <w:num w:numId="3">
    <w:abstractNumId w:val="27"/>
  </w:num>
  <w:num w:numId="4">
    <w:abstractNumId w:val="21"/>
  </w:num>
  <w:num w:numId="5">
    <w:abstractNumId w:val="17"/>
  </w:num>
  <w:num w:numId="6">
    <w:abstractNumId w:val="9"/>
  </w:num>
  <w:num w:numId="7">
    <w:abstractNumId w:val="0"/>
  </w:num>
  <w:num w:numId="8">
    <w:abstractNumId w:val="14"/>
  </w:num>
  <w:num w:numId="9">
    <w:abstractNumId w:val="16"/>
  </w:num>
  <w:num w:numId="10">
    <w:abstractNumId w:val="25"/>
  </w:num>
  <w:num w:numId="11">
    <w:abstractNumId w:val="11"/>
  </w:num>
  <w:num w:numId="12">
    <w:abstractNumId w:val="26"/>
  </w:num>
  <w:num w:numId="13">
    <w:abstractNumId w:val="22"/>
  </w:num>
  <w:num w:numId="14">
    <w:abstractNumId w:val="19"/>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F3"/>
    <w:rsid w:val="000007EC"/>
    <w:rsid w:val="00000CFD"/>
    <w:rsid w:val="00032DD5"/>
    <w:rsid w:val="000432C0"/>
    <w:rsid w:val="000719B3"/>
    <w:rsid w:val="000735B3"/>
    <w:rsid w:val="000811C0"/>
    <w:rsid w:val="00082518"/>
    <w:rsid w:val="000A02B9"/>
    <w:rsid w:val="000B3B57"/>
    <w:rsid w:val="000E6937"/>
    <w:rsid w:val="00135C64"/>
    <w:rsid w:val="00147C21"/>
    <w:rsid w:val="0016417F"/>
    <w:rsid w:val="001728CB"/>
    <w:rsid w:val="00195FA2"/>
    <w:rsid w:val="001B43AB"/>
    <w:rsid w:val="001B65C5"/>
    <w:rsid w:val="001F424B"/>
    <w:rsid w:val="00223B98"/>
    <w:rsid w:val="002914C5"/>
    <w:rsid w:val="002C1247"/>
    <w:rsid w:val="002F089D"/>
    <w:rsid w:val="002F6342"/>
    <w:rsid w:val="00350BD0"/>
    <w:rsid w:val="00390A74"/>
    <w:rsid w:val="003B2283"/>
    <w:rsid w:val="003D1C93"/>
    <w:rsid w:val="003F3B6D"/>
    <w:rsid w:val="00402074"/>
    <w:rsid w:val="004B3A2A"/>
    <w:rsid w:val="004E59D5"/>
    <w:rsid w:val="004F2C4E"/>
    <w:rsid w:val="00532DF8"/>
    <w:rsid w:val="0054057A"/>
    <w:rsid w:val="00546959"/>
    <w:rsid w:val="0056262F"/>
    <w:rsid w:val="005C1EAC"/>
    <w:rsid w:val="005C6A68"/>
    <w:rsid w:val="005D6EFC"/>
    <w:rsid w:val="00602E3F"/>
    <w:rsid w:val="0062310C"/>
    <w:rsid w:val="006317CC"/>
    <w:rsid w:val="006351D3"/>
    <w:rsid w:val="00661999"/>
    <w:rsid w:val="006740B9"/>
    <w:rsid w:val="00693065"/>
    <w:rsid w:val="006D74F2"/>
    <w:rsid w:val="006E76B7"/>
    <w:rsid w:val="00711A46"/>
    <w:rsid w:val="007378D5"/>
    <w:rsid w:val="00757388"/>
    <w:rsid w:val="00776081"/>
    <w:rsid w:val="007804E9"/>
    <w:rsid w:val="00791791"/>
    <w:rsid w:val="007B543A"/>
    <w:rsid w:val="007B7A1D"/>
    <w:rsid w:val="007C2627"/>
    <w:rsid w:val="007F3F33"/>
    <w:rsid w:val="00815E98"/>
    <w:rsid w:val="008370DC"/>
    <w:rsid w:val="008663B0"/>
    <w:rsid w:val="00867CE9"/>
    <w:rsid w:val="00880612"/>
    <w:rsid w:val="008828B2"/>
    <w:rsid w:val="008A603B"/>
    <w:rsid w:val="008B299E"/>
    <w:rsid w:val="008C175A"/>
    <w:rsid w:val="008C5EA2"/>
    <w:rsid w:val="008D6C59"/>
    <w:rsid w:val="008E100A"/>
    <w:rsid w:val="008E2366"/>
    <w:rsid w:val="008F72BE"/>
    <w:rsid w:val="0091454C"/>
    <w:rsid w:val="0091772A"/>
    <w:rsid w:val="00920E80"/>
    <w:rsid w:val="00970DA0"/>
    <w:rsid w:val="00990F55"/>
    <w:rsid w:val="009C4245"/>
    <w:rsid w:val="009C6265"/>
    <w:rsid w:val="009E280E"/>
    <w:rsid w:val="00A24ABC"/>
    <w:rsid w:val="00A45F73"/>
    <w:rsid w:val="00A63E7D"/>
    <w:rsid w:val="00A71D30"/>
    <w:rsid w:val="00A800DA"/>
    <w:rsid w:val="00AC5469"/>
    <w:rsid w:val="00AC5D13"/>
    <w:rsid w:val="00AF2A26"/>
    <w:rsid w:val="00AF2D79"/>
    <w:rsid w:val="00B012C3"/>
    <w:rsid w:val="00B43D05"/>
    <w:rsid w:val="00B55CD9"/>
    <w:rsid w:val="00B9007B"/>
    <w:rsid w:val="00B942EF"/>
    <w:rsid w:val="00B96610"/>
    <w:rsid w:val="00BB2E08"/>
    <w:rsid w:val="00BF18AD"/>
    <w:rsid w:val="00C228F3"/>
    <w:rsid w:val="00C24996"/>
    <w:rsid w:val="00C34F9A"/>
    <w:rsid w:val="00C54661"/>
    <w:rsid w:val="00C62285"/>
    <w:rsid w:val="00C70EEB"/>
    <w:rsid w:val="00CD2980"/>
    <w:rsid w:val="00D17127"/>
    <w:rsid w:val="00D54CF4"/>
    <w:rsid w:val="00D75D07"/>
    <w:rsid w:val="00D80F7E"/>
    <w:rsid w:val="00D925AA"/>
    <w:rsid w:val="00DA04A4"/>
    <w:rsid w:val="00DA3275"/>
    <w:rsid w:val="00DC5F90"/>
    <w:rsid w:val="00DC7052"/>
    <w:rsid w:val="00DE3643"/>
    <w:rsid w:val="00DF0D1F"/>
    <w:rsid w:val="00DF1D33"/>
    <w:rsid w:val="00E17A43"/>
    <w:rsid w:val="00E8136B"/>
    <w:rsid w:val="00F0320F"/>
    <w:rsid w:val="00F2400A"/>
    <w:rsid w:val="00F3534C"/>
    <w:rsid w:val="00F715BF"/>
    <w:rsid w:val="00F72238"/>
    <w:rsid w:val="00F72E8D"/>
    <w:rsid w:val="00FA5B75"/>
    <w:rsid w:val="00FD71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8D701D8-4129-4418-8B79-0504BF75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8F3"/>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8F3"/>
    <w:pPr>
      <w:tabs>
        <w:tab w:val="center" w:pos="4419"/>
        <w:tab w:val="right" w:pos="8838"/>
      </w:tabs>
    </w:pPr>
  </w:style>
  <w:style w:type="character" w:customStyle="1" w:styleId="EncabezadoCar">
    <w:name w:val="Encabezado Car"/>
    <w:basedOn w:val="Fuentedeprrafopredeter"/>
    <w:link w:val="Encabezado"/>
    <w:uiPriority w:val="99"/>
    <w:rsid w:val="00C228F3"/>
    <w:rPr>
      <w:rFonts w:ascii="Calibri" w:hAnsi="Calibri" w:cs="Calibri"/>
    </w:rPr>
  </w:style>
  <w:style w:type="paragraph" w:styleId="Piedepgina">
    <w:name w:val="footer"/>
    <w:basedOn w:val="Normal"/>
    <w:link w:val="PiedepginaCar"/>
    <w:uiPriority w:val="99"/>
    <w:unhideWhenUsed/>
    <w:rsid w:val="00C228F3"/>
    <w:pPr>
      <w:tabs>
        <w:tab w:val="center" w:pos="4419"/>
        <w:tab w:val="right" w:pos="8838"/>
      </w:tabs>
    </w:pPr>
  </w:style>
  <w:style w:type="character" w:customStyle="1" w:styleId="PiedepginaCar">
    <w:name w:val="Pie de página Car"/>
    <w:basedOn w:val="Fuentedeprrafopredeter"/>
    <w:link w:val="Piedepgina"/>
    <w:uiPriority w:val="99"/>
    <w:rsid w:val="00C228F3"/>
    <w:rPr>
      <w:rFonts w:ascii="Calibri" w:hAnsi="Calibri" w:cs="Calibri"/>
    </w:rPr>
  </w:style>
  <w:style w:type="character" w:styleId="Hipervnculo">
    <w:name w:val="Hyperlink"/>
    <w:basedOn w:val="Fuentedeprrafopredeter"/>
    <w:uiPriority w:val="99"/>
    <w:unhideWhenUsed/>
    <w:rsid w:val="00C228F3"/>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C228F3"/>
    <w:pPr>
      <w:ind w:left="720"/>
      <w:contextualSpacing/>
    </w:pPr>
  </w:style>
  <w:style w:type="table" w:styleId="Tablaconcuadrcula">
    <w:name w:val="Table Grid"/>
    <w:basedOn w:val="Tablanormal"/>
    <w:uiPriority w:val="39"/>
    <w:rsid w:val="00C228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C228F3"/>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C228F3"/>
    <w:rPr>
      <w:rFonts w:ascii="Calibri" w:hAnsi="Calibri" w:cs="Calibri"/>
    </w:rPr>
  </w:style>
  <w:style w:type="character" w:customStyle="1" w:styleId="SinespaciadoCar">
    <w:name w:val="Sin espaciado Car"/>
    <w:aliases w:val="Normal 11 Car"/>
    <w:basedOn w:val="Fuentedeprrafopredeter"/>
    <w:link w:val="Sinespaciado"/>
    <w:uiPriority w:val="1"/>
    <w:locked/>
    <w:rsid w:val="00C228F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F63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342"/>
    <w:rPr>
      <w:rFonts w:ascii="Segoe UI" w:hAnsi="Segoe UI" w:cs="Segoe UI"/>
      <w:sz w:val="18"/>
      <w:szCs w:val="18"/>
    </w:rPr>
  </w:style>
  <w:style w:type="paragraph" w:customStyle="1" w:styleId="Default">
    <w:name w:val="Default"/>
    <w:basedOn w:val="Normal"/>
    <w:uiPriority w:val="99"/>
    <w:rsid w:val="00147C21"/>
    <w:pPr>
      <w:autoSpaceDE w:val="0"/>
      <w:autoSpaceDN w:val="0"/>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0811C0"/>
    <w:rPr>
      <w:sz w:val="16"/>
      <w:szCs w:val="16"/>
    </w:rPr>
  </w:style>
  <w:style w:type="paragraph" w:styleId="Textocomentario">
    <w:name w:val="annotation text"/>
    <w:basedOn w:val="Normal"/>
    <w:link w:val="TextocomentarioCar"/>
    <w:uiPriority w:val="99"/>
    <w:semiHidden/>
    <w:unhideWhenUsed/>
    <w:rsid w:val="000811C0"/>
    <w:rPr>
      <w:sz w:val="20"/>
      <w:szCs w:val="20"/>
    </w:rPr>
  </w:style>
  <w:style w:type="character" w:customStyle="1" w:styleId="TextocomentarioCar">
    <w:name w:val="Texto comentario Car"/>
    <w:basedOn w:val="Fuentedeprrafopredeter"/>
    <w:link w:val="Textocomentario"/>
    <w:uiPriority w:val="99"/>
    <w:semiHidden/>
    <w:rsid w:val="000811C0"/>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0811C0"/>
    <w:rPr>
      <w:b/>
      <w:bCs/>
    </w:rPr>
  </w:style>
  <w:style w:type="character" w:customStyle="1" w:styleId="AsuntodelcomentarioCar">
    <w:name w:val="Asunto del comentario Car"/>
    <w:basedOn w:val="TextocomentarioCar"/>
    <w:link w:val="Asuntodelcomentario"/>
    <w:uiPriority w:val="99"/>
    <w:semiHidden/>
    <w:rsid w:val="000811C0"/>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6774">
      <w:bodyDiv w:val="1"/>
      <w:marLeft w:val="0"/>
      <w:marRight w:val="0"/>
      <w:marTop w:val="0"/>
      <w:marBottom w:val="0"/>
      <w:divBdr>
        <w:top w:val="none" w:sz="0" w:space="0" w:color="auto"/>
        <w:left w:val="none" w:sz="0" w:space="0" w:color="auto"/>
        <w:bottom w:val="none" w:sz="0" w:space="0" w:color="auto"/>
        <w:right w:val="none" w:sz="0" w:space="0" w:color="auto"/>
      </w:divBdr>
    </w:div>
    <w:div w:id="137458023">
      <w:bodyDiv w:val="1"/>
      <w:marLeft w:val="0"/>
      <w:marRight w:val="0"/>
      <w:marTop w:val="0"/>
      <w:marBottom w:val="0"/>
      <w:divBdr>
        <w:top w:val="none" w:sz="0" w:space="0" w:color="auto"/>
        <w:left w:val="none" w:sz="0" w:space="0" w:color="auto"/>
        <w:bottom w:val="none" w:sz="0" w:space="0" w:color="auto"/>
        <w:right w:val="none" w:sz="0" w:space="0" w:color="auto"/>
      </w:divBdr>
    </w:div>
    <w:div w:id="227498240">
      <w:bodyDiv w:val="1"/>
      <w:marLeft w:val="0"/>
      <w:marRight w:val="0"/>
      <w:marTop w:val="0"/>
      <w:marBottom w:val="0"/>
      <w:divBdr>
        <w:top w:val="none" w:sz="0" w:space="0" w:color="auto"/>
        <w:left w:val="none" w:sz="0" w:space="0" w:color="auto"/>
        <w:bottom w:val="none" w:sz="0" w:space="0" w:color="auto"/>
        <w:right w:val="none" w:sz="0" w:space="0" w:color="auto"/>
      </w:divBdr>
    </w:div>
    <w:div w:id="247692472">
      <w:bodyDiv w:val="1"/>
      <w:marLeft w:val="0"/>
      <w:marRight w:val="0"/>
      <w:marTop w:val="0"/>
      <w:marBottom w:val="0"/>
      <w:divBdr>
        <w:top w:val="none" w:sz="0" w:space="0" w:color="auto"/>
        <w:left w:val="none" w:sz="0" w:space="0" w:color="auto"/>
        <w:bottom w:val="none" w:sz="0" w:space="0" w:color="auto"/>
        <w:right w:val="none" w:sz="0" w:space="0" w:color="auto"/>
      </w:divBdr>
    </w:div>
    <w:div w:id="503210028">
      <w:bodyDiv w:val="1"/>
      <w:marLeft w:val="0"/>
      <w:marRight w:val="0"/>
      <w:marTop w:val="0"/>
      <w:marBottom w:val="0"/>
      <w:divBdr>
        <w:top w:val="none" w:sz="0" w:space="0" w:color="auto"/>
        <w:left w:val="none" w:sz="0" w:space="0" w:color="auto"/>
        <w:bottom w:val="none" w:sz="0" w:space="0" w:color="auto"/>
        <w:right w:val="none" w:sz="0" w:space="0" w:color="auto"/>
      </w:divBdr>
    </w:div>
    <w:div w:id="739524005">
      <w:bodyDiv w:val="1"/>
      <w:marLeft w:val="0"/>
      <w:marRight w:val="0"/>
      <w:marTop w:val="0"/>
      <w:marBottom w:val="0"/>
      <w:divBdr>
        <w:top w:val="none" w:sz="0" w:space="0" w:color="auto"/>
        <w:left w:val="none" w:sz="0" w:space="0" w:color="auto"/>
        <w:bottom w:val="none" w:sz="0" w:space="0" w:color="auto"/>
        <w:right w:val="none" w:sz="0" w:space="0" w:color="auto"/>
      </w:divBdr>
    </w:div>
    <w:div w:id="995843153">
      <w:bodyDiv w:val="1"/>
      <w:marLeft w:val="0"/>
      <w:marRight w:val="0"/>
      <w:marTop w:val="0"/>
      <w:marBottom w:val="0"/>
      <w:divBdr>
        <w:top w:val="none" w:sz="0" w:space="0" w:color="auto"/>
        <w:left w:val="none" w:sz="0" w:space="0" w:color="auto"/>
        <w:bottom w:val="none" w:sz="0" w:space="0" w:color="auto"/>
        <w:right w:val="none" w:sz="0" w:space="0" w:color="auto"/>
      </w:divBdr>
    </w:div>
    <w:div w:id="1172990540">
      <w:bodyDiv w:val="1"/>
      <w:marLeft w:val="0"/>
      <w:marRight w:val="0"/>
      <w:marTop w:val="0"/>
      <w:marBottom w:val="0"/>
      <w:divBdr>
        <w:top w:val="none" w:sz="0" w:space="0" w:color="auto"/>
        <w:left w:val="none" w:sz="0" w:space="0" w:color="auto"/>
        <w:bottom w:val="none" w:sz="0" w:space="0" w:color="auto"/>
        <w:right w:val="none" w:sz="0" w:space="0" w:color="auto"/>
      </w:divBdr>
    </w:div>
    <w:div w:id="1431006556">
      <w:bodyDiv w:val="1"/>
      <w:marLeft w:val="0"/>
      <w:marRight w:val="0"/>
      <w:marTop w:val="0"/>
      <w:marBottom w:val="0"/>
      <w:divBdr>
        <w:top w:val="none" w:sz="0" w:space="0" w:color="auto"/>
        <w:left w:val="none" w:sz="0" w:space="0" w:color="auto"/>
        <w:bottom w:val="none" w:sz="0" w:space="0" w:color="auto"/>
        <w:right w:val="none" w:sz="0" w:space="0" w:color="auto"/>
      </w:divBdr>
    </w:div>
    <w:div w:id="1437752681">
      <w:bodyDiv w:val="1"/>
      <w:marLeft w:val="0"/>
      <w:marRight w:val="0"/>
      <w:marTop w:val="0"/>
      <w:marBottom w:val="0"/>
      <w:divBdr>
        <w:top w:val="none" w:sz="0" w:space="0" w:color="auto"/>
        <w:left w:val="none" w:sz="0" w:space="0" w:color="auto"/>
        <w:bottom w:val="none" w:sz="0" w:space="0" w:color="auto"/>
        <w:right w:val="none" w:sz="0" w:space="0" w:color="auto"/>
      </w:divBdr>
    </w:div>
    <w:div w:id="1765149631">
      <w:bodyDiv w:val="1"/>
      <w:marLeft w:val="0"/>
      <w:marRight w:val="0"/>
      <w:marTop w:val="0"/>
      <w:marBottom w:val="0"/>
      <w:divBdr>
        <w:top w:val="none" w:sz="0" w:space="0" w:color="auto"/>
        <w:left w:val="none" w:sz="0" w:space="0" w:color="auto"/>
        <w:bottom w:val="none" w:sz="0" w:space="0" w:color="auto"/>
        <w:right w:val="none" w:sz="0" w:space="0" w:color="auto"/>
      </w:divBdr>
    </w:div>
    <w:div w:id="1821651181">
      <w:bodyDiv w:val="1"/>
      <w:marLeft w:val="0"/>
      <w:marRight w:val="0"/>
      <w:marTop w:val="0"/>
      <w:marBottom w:val="0"/>
      <w:divBdr>
        <w:top w:val="none" w:sz="0" w:space="0" w:color="auto"/>
        <w:left w:val="none" w:sz="0" w:space="0" w:color="auto"/>
        <w:bottom w:val="none" w:sz="0" w:space="0" w:color="auto"/>
        <w:right w:val="none" w:sz="0" w:space="0" w:color="auto"/>
      </w:divBdr>
    </w:div>
    <w:div w:id="19170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comite.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6592</Words>
  <Characters>36258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adriana.garcia</dc:creator>
  <cp:keywords/>
  <dc:description/>
  <cp:lastModifiedBy>García Moreno, Elia</cp:lastModifiedBy>
  <cp:revision>2</cp:revision>
  <cp:lastPrinted>2019-02-22T16:54:00Z</cp:lastPrinted>
  <dcterms:created xsi:type="dcterms:W3CDTF">2019-06-08T01:28:00Z</dcterms:created>
  <dcterms:modified xsi:type="dcterms:W3CDTF">2019-06-08T01:28:00Z</dcterms:modified>
</cp:coreProperties>
</file>